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2200"/>
        <w:jc w:val="center"/>
      </w:pPr>
      <w:r>
        <w:rPr>
          <w:rFonts w:ascii="Arial" w:hAnsi="Arial"/>
          <w:b/>
          <w:color w:val="17365D"/>
          <w:sz w:val="44"/>
        </w:rPr>
        <w:t>QUALITY IMPROVEMENT PLAN</w:t>
      </w:r>
    </w:p>
    <w:p>
      <w:pPr>
        <w:pStyle w:val="Subtitle"/>
        <w:jc w:val="center"/>
      </w:pPr>
      <w:r>
        <w:t>Academic Quality Planning and Outcome Assessment</w:t>
      </w:r>
    </w:p>
    <w:p>
      <w:pPr>
        <w:jc w:val="center"/>
      </w:pPr>
      <w:r>
        <w:rPr>
          <w:b/>
          <w:sz w:val="22"/>
        </w:rPr>
        <w:t>B.S. in Construction Management</w:t>
      </w:r>
    </w:p>
    <w:p>
      <w:pPr>
        <w:spacing w:after="60"/>
        <w:ind w:left="1584" w:right="1584"/>
      </w:pPr>
      <w:r>
        <w:rPr>
          <w:b/>
          <w:color w:val="1F4E79"/>
        </w:rPr>
        <w:t xml:space="preserve">Institution: </w:t>
      </w:r>
      <w:r>
        <w:t>University of Louisiana Monroe</w:t>
      </w:r>
    </w:p>
    <w:p>
      <w:pPr>
        <w:spacing w:after="60"/>
        <w:ind w:left="1584" w:right="1584"/>
      </w:pPr>
      <w:r>
        <w:rPr>
          <w:b/>
          <w:color w:val="1F4E79"/>
        </w:rPr>
        <w:t xml:space="preserve">Educational Unit: </w:t>
      </w:r>
      <w:r>
        <w:t>School of Construction Management</w:t>
      </w:r>
    </w:p>
    <w:p>
      <w:pPr>
        <w:spacing w:after="60"/>
        <w:ind w:left="1584" w:right="1584"/>
      </w:pPr>
      <w:r>
        <w:rPr>
          <w:b/>
          <w:color w:val="1F4E79"/>
        </w:rPr>
        <w:t xml:space="preserve">Plan Period: </w:t>
      </w:r>
      <w:r>
        <w:t>2024–2028 | Spring 2026 Update</w:t>
      </w:r>
    </w:p>
    <w:p>
      <w:pPr>
        <w:spacing w:after="60"/>
        <w:ind w:left="1584" w:right="1584"/>
      </w:pPr>
      <w:r>
        <w:rPr>
          <w:b/>
          <w:color w:val="1F4E79"/>
        </w:rPr>
        <w:t xml:space="preserve">Prepared for: </w:t>
      </w:r>
      <w:r>
        <w:t>ACCE Self-Evaluation Study | 2026</w:t>
      </w:r>
    </w:p>
    <w:p>
      <w:r>
        <w:br w:type="page"/>
      </w:r>
    </w:p>
    <w:p>
      <w:pPr>
        <w:pStyle w:val="Heading1"/>
      </w:pPr>
      <w:r>
        <w:t>1. Purpose and ACCE Alignment</w:t>
      </w:r>
    </w:p>
    <w:p>
      <w:r>
        <w:t>The School of Construction Management uses this Quality Improvement Plan (QIP) to conduct a systematic cycle of planning, assessment, action, and follow-up. The plan integrates the Educational Unit Strategic Plan, the Degree Program Assessment Implementation Plan, and the determination of achievement for Student Learning Outcomes (SLOs) and Degree Program Objectives (DPOs), as required by ACCE Standard 9.</w:t>
      </w:r>
    </w:p>
    <w:p>
      <w:pPr>
        <w:pStyle w:val="Heading2"/>
      </w:pPr>
      <w:r>
        <w:t>1.1 Mission</w:t>
      </w:r>
    </w:p>
    <w:p>
      <w:r>
        <w:t>To provide the construction industry and related fields with highly trained and motivated graduates who are prepared for a professional career through specialized technical, managerial, and financial coursework.</w:t>
      </w:r>
    </w:p>
    <w:p>
      <w:pPr>
        <w:pStyle w:val="Heading2"/>
      </w:pPr>
      <w:r>
        <w:t>1.2 Continuous-Improvement Cycle</w:t>
      </w:r>
    </w:p>
    <w:tbl>
      <w:tblPr>
        <w:tblW w:type="auto" w:w="0"/>
        <w:jc w:val="center"/>
        <w:tblLayout w:type="fixed"/>
        <w:tblLook w:firstColumn="1" w:firstRow="1" w:lastColumn="0" w:lastRow="0" w:noHBand="0" w:noVBand="1" w:val="04A0"/>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blGrid>
        <w:gridCol w:w="5040"/>
        <w:gridCol w:w="5040"/>
      </w:tblGrid>
      <w:tr>
        <w:trPr>
          <w:tblHeader w:val="true"/>
          <w:cantSplit/>
        </w:trPr>
        <w:tc>
          <w:tcPr>
            <w:tcW w:type="dxa" w:w="1728"/>
            <w:shd w:fill="1F4E79"/>
            <w:tcMar>
              <w:top w:w="60" w:type="dxa"/>
              <w:start w:w="70" w:type="dxa"/>
              <w:bottom w:w="60" w:type="dxa"/>
              <w:end w:w="70" w:type="dxa"/>
            </w:tcMar>
            <w:vAlign w:val="center"/>
          </w:tcPr>
          <w:p>
            <w:pPr>
              <w:spacing w:after="0"/>
            </w:pPr>
            <w:r>
              <w:rPr>
                <w:b/>
                <w:color w:val="FFFFFF"/>
                <w:sz w:val="18"/>
              </w:rPr>
              <w:t>Stage</w:t>
            </w:r>
          </w:p>
        </w:tc>
        <w:tc>
          <w:tcPr>
            <w:tcW w:type="dxa" w:w="7920"/>
            <w:shd w:fill="1F4E79"/>
            <w:tcMar>
              <w:top w:w="60" w:type="dxa"/>
              <w:start w:w="70" w:type="dxa"/>
              <w:bottom w:w="60" w:type="dxa"/>
              <w:end w:w="70" w:type="dxa"/>
            </w:tcMar>
            <w:vAlign w:val="center"/>
          </w:tcPr>
          <w:p>
            <w:pPr>
              <w:spacing w:after="0"/>
            </w:pPr>
            <w:r>
              <w:rPr>
                <w:b/>
                <w:color w:val="FFFFFF"/>
                <w:sz w:val="18"/>
              </w:rPr>
              <w:t>Required record</w:t>
            </w:r>
          </w:p>
        </w:tc>
      </w:tr>
      <w:tr>
        <w:trPr>
          <w:cantSplit/>
        </w:trPr>
        <w:tc>
          <w:tcPr>
            <w:tcW w:type="dxa" w:w="1728"/>
            <w:tcMar>
              <w:top w:w="60" w:type="dxa"/>
              <w:start w:w="70" w:type="dxa"/>
              <w:bottom w:w="60" w:type="dxa"/>
              <w:end w:w="70" w:type="dxa"/>
            </w:tcMar>
            <w:vAlign w:val="center"/>
          </w:tcPr>
          <w:p>
            <w:pPr>
              <w:spacing w:after="0"/>
            </w:pPr>
            <w:r>
              <w:rPr>
                <w:sz w:val="18"/>
              </w:rPr>
              <w:t>1. Collect</w:t>
            </w:r>
          </w:p>
        </w:tc>
        <w:tc>
          <w:tcPr>
            <w:tcW w:type="dxa" w:w="7920"/>
            <w:tcMar>
              <w:top w:w="60" w:type="dxa"/>
              <w:start w:w="70" w:type="dxa"/>
              <w:bottom w:w="60" w:type="dxa"/>
              <w:end w:w="70" w:type="dxa"/>
            </w:tcMar>
            <w:vAlign w:val="center"/>
          </w:tcPr>
          <w:p>
            <w:pPr>
              <w:spacing w:after="0"/>
            </w:pPr>
            <w:r>
              <w:rPr>
                <w:sz w:val="18"/>
              </w:rPr>
              <w:t>Retain the assessment tool, SLO- or DPO-specific criterion, de-identified results, response rate where applicable, and representative evidence.</w:t>
            </w:r>
          </w:p>
        </w:tc>
      </w:tr>
      <w:tr>
        <w:trPr>
          <w:cantSplit/>
        </w:trPr>
        <w:tc>
          <w:tcPr>
            <w:tcW w:type="dxa" w:w="1728"/>
            <w:tcMar>
              <w:top w:w="60" w:type="dxa"/>
              <w:start w:w="70" w:type="dxa"/>
              <w:bottom w:w="60" w:type="dxa"/>
              <w:end w:w="70" w:type="dxa"/>
            </w:tcMar>
            <w:vAlign w:val="center"/>
          </w:tcPr>
          <w:p>
            <w:pPr>
              <w:spacing w:after="0"/>
            </w:pPr>
            <w:r>
              <w:rPr>
                <w:sz w:val="18"/>
              </w:rPr>
              <w:t>2. Analyze</w:t>
            </w:r>
          </w:p>
        </w:tc>
        <w:tc>
          <w:tcPr>
            <w:tcW w:type="dxa" w:w="7920"/>
            <w:tcMar>
              <w:top w:w="60" w:type="dxa"/>
              <w:start w:w="70" w:type="dxa"/>
              <w:bottom w:w="60" w:type="dxa"/>
              <w:end w:w="70" w:type="dxa"/>
            </w:tcMar>
            <w:vAlign w:val="center"/>
          </w:tcPr>
          <w:p>
            <w:pPr>
              <w:spacing w:after="0"/>
            </w:pPr>
            <w:r>
              <w:rPr>
                <w:sz w:val="18"/>
              </w:rPr>
              <w:t>Compare the current result with the criterion and the immediately previous result; identify the educational implication.</w:t>
            </w:r>
          </w:p>
        </w:tc>
      </w:tr>
      <w:tr>
        <w:trPr>
          <w:cantSplit/>
        </w:trPr>
        <w:tc>
          <w:tcPr>
            <w:tcW w:type="dxa" w:w="1728"/>
            <w:tcMar>
              <w:top w:w="60" w:type="dxa"/>
              <w:start w:w="70" w:type="dxa"/>
              <w:bottom w:w="60" w:type="dxa"/>
              <w:end w:w="70" w:type="dxa"/>
            </w:tcMar>
            <w:vAlign w:val="center"/>
          </w:tcPr>
          <w:p>
            <w:pPr>
              <w:spacing w:after="0"/>
            </w:pPr>
            <w:r>
              <w:rPr>
                <w:sz w:val="18"/>
              </w:rPr>
              <w:t>3. Decide</w:t>
            </w:r>
          </w:p>
        </w:tc>
        <w:tc>
          <w:tcPr>
            <w:tcW w:type="dxa" w:w="7920"/>
            <w:tcMar>
              <w:top w:w="60" w:type="dxa"/>
              <w:start w:w="70" w:type="dxa"/>
              <w:bottom w:w="60" w:type="dxa"/>
              <w:end w:w="70" w:type="dxa"/>
            </w:tcMar>
            <w:vAlign w:val="center"/>
          </w:tcPr>
          <w:p>
            <w:pPr>
              <w:spacing w:after="0"/>
            </w:pPr>
            <w:r>
              <w:rPr>
                <w:sz w:val="18"/>
              </w:rPr>
              <w:t>Faculty select a corrective action or a successful practice to maintain.</w:t>
            </w:r>
          </w:p>
        </w:tc>
      </w:tr>
      <w:tr>
        <w:trPr>
          <w:cantSplit/>
        </w:trPr>
        <w:tc>
          <w:tcPr>
            <w:tcW w:type="dxa" w:w="1728"/>
            <w:tcMar>
              <w:top w:w="60" w:type="dxa"/>
              <w:start w:w="70" w:type="dxa"/>
              <w:bottom w:w="60" w:type="dxa"/>
              <w:end w:w="70" w:type="dxa"/>
            </w:tcMar>
            <w:vAlign w:val="center"/>
          </w:tcPr>
          <w:p>
            <w:pPr>
              <w:spacing w:after="0"/>
            </w:pPr>
            <w:r>
              <w:rPr>
                <w:sz w:val="18"/>
              </w:rPr>
              <w:t>4. Implement</w:t>
            </w:r>
          </w:p>
        </w:tc>
        <w:tc>
          <w:tcPr>
            <w:tcW w:type="dxa" w:w="7920"/>
            <w:tcMar>
              <w:top w:w="60" w:type="dxa"/>
              <w:start w:w="70" w:type="dxa"/>
              <w:bottom w:w="60" w:type="dxa"/>
              <w:end w:w="70" w:type="dxa"/>
            </w:tcMar>
            <w:vAlign w:val="center"/>
          </w:tcPr>
          <w:p>
            <w:pPr>
              <w:spacing w:after="0"/>
            </w:pPr>
            <w:r>
              <w:rPr>
                <w:sz w:val="18"/>
              </w:rPr>
              <w:t>Assign an owner, resources, and target date; retain implementation evidence.</w:t>
            </w:r>
          </w:p>
        </w:tc>
      </w:tr>
      <w:tr>
        <w:trPr>
          <w:cantSplit/>
        </w:trPr>
        <w:tc>
          <w:tcPr>
            <w:tcW w:type="dxa" w:w="1728"/>
            <w:tcMar>
              <w:top w:w="60" w:type="dxa"/>
              <w:start w:w="70" w:type="dxa"/>
              <w:bottom w:w="60" w:type="dxa"/>
              <w:end w:w="70" w:type="dxa"/>
            </w:tcMar>
            <w:vAlign w:val="center"/>
          </w:tcPr>
          <w:p>
            <w:pPr>
              <w:spacing w:after="0"/>
            </w:pPr>
            <w:r>
              <w:rPr>
                <w:sz w:val="18"/>
              </w:rPr>
              <w:t>5. Follow up</w:t>
            </w:r>
          </w:p>
        </w:tc>
        <w:tc>
          <w:tcPr>
            <w:tcW w:type="dxa" w:w="7920"/>
            <w:tcMar>
              <w:top w:w="60" w:type="dxa"/>
              <w:start w:w="70" w:type="dxa"/>
              <w:bottom w:w="60" w:type="dxa"/>
              <w:end w:w="70" w:type="dxa"/>
            </w:tcMar>
            <w:vAlign w:val="center"/>
          </w:tcPr>
          <w:p>
            <w:pPr>
              <w:spacing w:after="0"/>
            </w:pPr>
            <w:r>
              <w:rPr>
                <w:sz w:val="18"/>
              </w:rPr>
              <w:t>Review the next result or other dated evidence to determine the action’s effect.</w:t>
            </w:r>
          </w:p>
        </w:tc>
      </w:tr>
      <w:tr>
        <w:trPr>
          <w:cantSplit/>
        </w:trPr>
        <w:tc>
          <w:tcPr>
            <w:tcW w:type="dxa" w:w="1728"/>
            <w:tcMar>
              <w:top w:w="60" w:type="dxa"/>
              <w:start w:w="70" w:type="dxa"/>
              <w:bottom w:w="60" w:type="dxa"/>
              <w:end w:w="70" w:type="dxa"/>
            </w:tcMar>
            <w:vAlign w:val="center"/>
          </w:tcPr>
          <w:p>
            <w:pPr>
              <w:spacing w:after="0"/>
            </w:pPr>
            <w:r>
              <w:rPr>
                <w:sz w:val="18"/>
              </w:rPr>
              <w:t>6. Close or continue</w:t>
            </w:r>
          </w:p>
        </w:tc>
        <w:tc>
          <w:tcPr>
            <w:tcW w:type="dxa" w:w="7920"/>
            <w:tcMar>
              <w:top w:w="60" w:type="dxa"/>
              <w:start w:w="70" w:type="dxa"/>
              <w:bottom w:w="60" w:type="dxa"/>
              <w:end w:w="70" w:type="dxa"/>
            </w:tcMar>
            <w:vAlign w:val="center"/>
          </w:tcPr>
          <w:p>
            <w:pPr>
              <w:spacing w:after="0"/>
            </w:pPr>
            <w:r>
              <w:rPr>
                <w:sz w:val="18"/>
              </w:rPr>
              <w:t>Record whether the action was effective, requires revision, or remains active.</w:t>
            </w:r>
          </w:p>
        </w:tc>
      </w:tr>
    </w:tbl>
    <w:p>
      <w:pPr>
        <w:pStyle w:val="Heading1"/>
      </w:pPr>
      <w:r>
        <w:t>2. Educational Unit Strategic Plan</w:t>
      </w:r>
    </w:p>
    <w:p>
      <w:r>
        <w:t>The IAC ratified the 2024–2028 Strategic Plan in Fall 2024. The Spring 2026 cost report updates the actions, timing, responsible groups, funding revisions, expenditures, and available balances. Faculty, School leadership, and IAC committees review progress through regular meetings and the annual planning cycle. The detailed cost report is retained as the primary Section 9.2 supporting record.</w:t>
      </w:r>
    </w:p>
    <w:p>
      <w:pPr>
        <w:pStyle w:val="Heading2"/>
      </w:pPr>
      <w:r>
        <w:t>2.1 Strategic Priorities and Evidence</w:t>
      </w:r>
    </w:p>
    <w:tbl>
      <w:tblPr>
        <w:tblW w:type="auto" w:w="0"/>
        <w:jc w:val="center"/>
        <w:tblLayout w:type="fixed"/>
        <w:tblLook w:firstColumn="1" w:firstRow="1" w:lastColumn="0" w:lastRow="0" w:noHBand="0" w:noVBand="1" w:val="04A0"/>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blGrid>
        <w:gridCol w:w="2520"/>
        <w:gridCol w:w="2520"/>
        <w:gridCol w:w="2520"/>
        <w:gridCol w:w="2520"/>
      </w:tblGrid>
      <w:tr>
        <w:trPr>
          <w:tblHeader w:val="true"/>
          <w:cantSplit/>
        </w:trPr>
        <w:tc>
          <w:tcPr>
            <w:tcW w:type="dxa" w:w="936"/>
            <w:shd w:fill="1F4E79"/>
            <w:tcMar>
              <w:top w:w="60" w:type="dxa"/>
              <w:start w:w="70" w:type="dxa"/>
              <w:bottom w:w="60" w:type="dxa"/>
              <w:end w:w="70" w:type="dxa"/>
            </w:tcMar>
            <w:vAlign w:val="center"/>
          </w:tcPr>
          <w:p>
            <w:pPr>
              <w:spacing w:after="0"/>
            </w:pPr>
            <w:r>
              <w:rPr>
                <w:b/>
                <w:color w:val="FFFFFF"/>
                <w:sz w:val="18"/>
              </w:rPr>
              <w:t>Goal</w:t>
            </w:r>
          </w:p>
        </w:tc>
        <w:tc>
          <w:tcPr>
            <w:tcW w:type="dxa" w:w="2232"/>
            <w:shd w:fill="1F4E79"/>
            <w:tcMar>
              <w:top w:w="60" w:type="dxa"/>
              <w:start w:w="70" w:type="dxa"/>
              <w:bottom w:w="60" w:type="dxa"/>
              <w:end w:w="70" w:type="dxa"/>
            </w:tcMar>
            <w:vAlign w:val="center"/>
          </w:tcPr>
          <w:p>
            <w:pPr>
              <w:spacing w:after="0"/>
            </w:pPr>
            <w:r>
              <w:rPr>
                <w:b/>
                <w:color w:val="FFFFFF"/>
                <w:sz w:val="18"/>
              </w:rPr>
              <w:t>Strategic priority</w:t>
            </w:r>
          </w:p>
        </w:tc>
        <w:tc>
          <w:tcPr>
            <w:tcW w:type="dxa" w:w="3528"/>
            <w:shd w:fill="1F4E79"/>
            <w:tcMar>
              <w:top w:w="60" w:type="dxa"/>
              <w:start w:w="70" w:type="dxa"/>
              <w:bottom w:w="60" w:type="dxa"/>
              <w:end w:w="70" w:type="dxa"/>
            </w:tcMar>
            <w:vAlign w:val="center"/>
          </w:tcPr>
          <w:p>
            <w:pPr>
              <w:spacing w:after="0"/>
            </w:pPr>
            <w:r>
              <w:rPr>
                <w:b/>
                <w:color w:val="FFFFFF"/>
                <w:sz w:val="18"/>
              </w:rPr>
              <w:t>Implementation focus</w:t>
            </w:r>
          </w:p>
        </w:tc>
        <w:tc>
          <w:tcPr>
            <w:tcW w:type="dxa" w:w="2880"/>
            <w:shd w:fill="1F4E79"/>
            <w:tcMar>
              <w:top w:w="60" w:type="dxa"/>
              <w:start w:w="70" w:type="dxa"/>
              <w:bottom w:w="60" w:type="dxa"/>
              <w:end w:w="70" w:type="dxa"/>
            </w:tcMar>
            <w:vAlign w:val="center"/>
          </w:tcPr>
          <w:p>
            <w:pPr>
              <w:spacing w:after="0"/>
            </w:pPr>
            <w:r>
              <w:rPr>
                <w:b/>
                <w:color w:val="FFFFFF"/>
                <w:sz w:val="18"/>
              </w:rPr>
              <w:t>Primary evidence</w:t>
            </w:r>
          </w:p>
        </w:tc>
      </w:tr>
      <w:tr>
        <w:trPr>
          <w:cantSplit/>
        </w:trPr>
        <w:tc>
          <w:tcPr>
            <w:tcW w:type="dxa" w:w="936"/>
            <w:tcMar>
              <w:top w:w="60" w:type="dxa"/>
              <w:start w:w="70" w:type="dxa"/>
              <w:bottom w:w="60" w:type="dxa"/>
              <w:end w:w="70" w:type="dxa"/>
            </w:tcMar>
            <w:vAlign w:val="center"/>
          </w:tcPr>
          <w:p>
            <w:pPr>
              <w:spacing w:after="0"/>
            </w:pPr>
            <w:r>
              <w:rPr>
                <w:sz w:val="18"/>
              </w:rPr>
              <w:t>SOCM 1</w:t>
            </w:r>
          </w:p>
        </w:tc>
        <w:tc>
          <w:tcPr>
            <w:tcW w:type="dxa" w:w="2232"/>
            <w:tcMar>
              <w:top w:w="60" w:type="dxa"/>
              <w:start w:w="70" w:type="dxa"/>
              <w:bottom w:w="60" w:type="dxa"/>
              <w:end w:w="70" w:type="dxa"/>
            </w:tcMar>
            <w:vAlign w:val="center"/>
          </w:tcPr>
          <w:p>
            <w:pPr>
              <w:spacing w:after="0"/>
            </w:pPr>
            <w:r>
              <w:rPr>
                <w:sz w:val="18"/>
              </w:rPr>
              <w:t>Update the program to modern standards.</w:t>
            </w:r>
          </w:p>
        </w:tc>
        <w:tc>
          <w:tcPr>
            <w:tcW w:type="dxa" w:w="3528"/>
            <w:tcMar>
              <w:top w:w="60" w:type="dxa"/>
              <w:start w:w="70" w:type="dxa"/>
              <w:bottom w:w="60" w:type="dxa"/>
              <w:end w:w="70" w:type="dxa"/>
            </w:tcMar>
            <w:vAlign w:val="center"/>
          </w:tcPr>
          <w:p>
            <w:pPr>
              <w:spacing w:after="0"/>
            </w:pPr>
            <w:r>
              <w:rPr>
                <w:sz w:val="18"/>
              </w:rPr>
              <w:t>Curriculum review; software and technology integration; facilities, practice laboratory, classroom and faculty-space projects; ACCE preparation.</w:t>
            </w:r>
          </w:p>
        </w:tc>
        <w:tc>
          <w:tcPr>
            <w:tcW w:type="dxa" w:w="2880"/>
            <w:tcMar>
              <w:top w:w="60" w:type="dxa"/>
              <w:start w:w="70" w:type="dxa"/>
              <w:bottom w:w="60" w:type="dxa"/>
              <w:end w:w="70" w:type="dxa"/>
            </w:tcMar>
            <w:vAlign w:val="center"/>
          </w:tcPr>
          <w:p>
            <w:pPr>
              <w:spacing w:after="0"/>
            </w:pPr>
            <w:r>
              <w:rPr>
                <w:sz w:val="18"/>
              </w:rPr>
              <w:t>Curriculum map, course materials, software records, project records, IAC minutes</w:t>
            </w:r>
          </w:p>
        </w:tc>
      </w:tr>
    </w:tbl>
    <w:tbl>
      <w:tblPr>
        <w:tblW w:type="auto" w:w="0"/>
        <w:jc w:val="center"/>
        <w:tblLayout w:type="fixed"/>
        <w:tblLook w:firstColumn="1" w:firstRow="1" w:lastColumn="0" w:lastRow="0" w:noHBand="0" w:noVBand="1" w:val="04A0"/>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blGrid>
        <w:gridCol w:w="2520"/>
        <w:gridCol w:w="2520"/>
        <w:gridCol w:w="2520"/>
        <w:gridCol w:w="2520"/>
      </w:tblGrid>
      <w:tr>
        <w:trPr>
          <w:tblHeader w:val="true"/>
          <w:cantSplit/>
        </w:trPr>
        <w:tc>
          <w:tcPr>
            <w:tcW w:type="dxa" w:w="936"/>
            <w:shd w:fill="1F4E79"/>
            <w:tcMar>
              <w:top w:w="60" w:type="dxa"/>
              <w:start w:w="70" w:type="dxa"/>
              <w:bottom w:w="60" w:type="dxa"/>
              <w:end w:w="70" w:type="dxa"/>
            </w:tcMar>
            <w:vAlign w:val="center"/>
          </w:tcPr>
          <w:p>
            <w:pPr>
              <w:spacing w:after="0"/>
            </w:pPr>
            <w:r>
              <w:rPr>
                <w:b/>
                <w:color w:val="FFFFFF"/>
                <w:sz w:val="18"/>
              </w:rPr>
              <w:t>Goal</w:t>
            </w:r>
          </w:p>
        </w:tc>
        <w:tc>
          <w:tcPr>
            <w:tcW w:type="dxa" w:w="2232"/>
            <w:shd w:fill="1F4E79"/>
            <w:tcMar>
              <w:top w:w="60" w:type="dxa"/>
              <w:start w:w="70" w:type="dxa"/>
              <w:bottom w:w="60" w:type="dxa"/>
              <w:end w:w="70" w:type="dxa"/>
            </w:tcMar>
            <w:vAlign w:val="center"/>
          </w:tcPr>
          <w:p>
            <w:pPr>
              <w:spacing w:after="0"/>
            </w:pPr>
            <w:r>
              <w:rPr>
                <w:b/>
                <w:color w:val="FFFFFF"/>
                <w:sz w:val="18"/>
              </w:rPr>
              <w:t>Strategic priority</w:t>
            </w:r>
          </w:p>
        </w:tc>
        <w:tc>
          <w:tcPr>
            <w:tcW w:type="dxa" w:w="3528"/>
            <w:shd w:fill="1F4E79"/>
            <w:tcMar>
              <w:top w:w="60" w:type="dxa"/>
              <w:start w:w="70" w:type="dxa"/>
              <w:bottom w:w="60" w:type="dxa"/>
              <w:end w:w="70" w:type="dxa"/>
            </w:tcMar>
            <w:vAlign w:val="center"/>
          </w:tcPr>
          <w:p>
            <w:pPr>
              <w:spacing w:after="0"/>
            </w:pPr>
            <w:r>
              <w:rPr>
                <w:b/>
                <w:color w:val="FFFFFF"/>
                <w:sz w:val="18"/>
              </w:rPr>
              <w:t>Implementation focus</w:t>
            </w:r>
          </w:p>
        </w:tc>
        <w:tc>
          <w:tcPr>
            <w:tcW w:type="dxa" w:w="2880"/>
            <w:shd w:fill="1F4E79"/>
            <w:tcMar>
              <w:top w:w="60" w:type="dxa"/>
              <w:start w:w="70" w:type="dxa"/>
              <w:bottom w:w="60" w:type="dxa"/>
              <w:end w:w="70" w:type="dxa"/>
            </w:tcMar>
            <w:vAlign w:val="center"/>
          </w:tcPr>
          <w:p>
            <w:pPr>
              <w:spacing w:after="0"/>
            </w:pPr>
            <w:r>
              <w:rPr>
                <w:b/>
                <w:color w:val="FFFFFF"/>
                <w:sz w:val="18"/>
              </w:rPr>
              <w:t>Primary evidence</w:t>
            </w:r>
          </w:p>
        </w:tc>
      </w:tr>
      <w:tr>
        <w:trPr>
          <w:cantSplit/>
        </w:trPr>
        <w:tc>
          <w:tcPr>
            <w:tcW w:type="dxa" w:w="936"/>
            <w:tcMar>
              <w:top w:w="60" w:type="dxa"/>
              <w:start w:w="70" w:type="dxa"/>
              <w:bottom w:w="60" w:type="dxa"/>
              <w:end w:w="70" w:type="dxa"/>
            </w:tcMar>
            <w:vAlign w:val="center"/>
          </w:tcPr>
          <w:p>
            <w:pPr>
              <w:spacing w:after="0"/>
            </w:pPr>
            <w:r>
              <w:rPr>
                <w:sz w:val="18"/>
              </w:rPr>
              <w:t>SOCM 2</w:t>
            </w:r>
          </w:p>
        </w:tc>
        <w:tc>
          <w:tcPr>
            <w:tcW w:type="dxa" w:w="2232"/>
            <w:tcMar>
              <w:top w:w="60" w:type="dxa"/>
              <w:start w:w="70" w:type="dxa"/>
              <w:bottom w:w="60" w:type="dxa"/>
              <w:end w:w="70" w:type="dxa"/>
            </w:tcMar>
            <w:vAlign w:val="center"/>
          </w:tcPr>
          <w:p>
            <w:pPr>
              <w:spacing w:after="0"/>
            </w:pPr>
            <w:r>
              <w:rPr>
                <w:sz w:val="18"/>
              </w:rPr>
              <w:t>Recruit, retain, and graduate high-quality students from all backgrounds.</w:t>
            </w:r>
          </w:p>
        </w:tc>
        <w:tc>
          <w:tcPr>
            <w:tcW w:type="dxa" w:w="3528"/>
            <w:tcMar>
              <w:top w:w="60" w:type="dxa"/>
              <w:start w:w="70" w:type="dxa"/>
              <w:bottom w:w="60" w:type="dxa"/>
              <w:end w:w="70" w:type="dxa"/>
            </w:tcMar>
            <w:vAlign w:val="center"/>
          </w:tcPr>
          <w:p>
            <w:pPr>
              <w:spacing w:after="0"/>
            </w:pPr>
            <w:r>
              <w:rPr>
                <w:sz w:val="18"/>
              </w:rPr>
              <w:t>Recruiting and marketing; scholarships; hands-on learning; competitions; student engagement and program visibility.</w:t>
            </w:r>
          </w:p>
        </w:tc>
        <w:tc>
          <w:tcPr>
            <w:tcW w:type="dxa" w:w="2880"/>
            <w:tcMar>
              <w:top w:w="60" w:type="dxa"/>
              <w:start w:w="70" w:type="dxa"/>
              <w:bottom w:w="60" w:type="dxa"/>
              <w:end w:w="70" w:type="dxa"/>
            </w:tcMar>
            <w:vAlign w:val="center"/>
          </w:tcPr>
          <w:p>
            <w:pPr>
              <w:spacing w:after="0"/>
            </w:pPr>
            <w:r>
              <w:rPr>
                <w:sz w:val="18"/>
              </w:rPr>
              <w:t>Official student records, recruiting records, scholarship records, participation and completion data</w:t>
            </w:r>
          </w:p>
        </w:tc>
      </w:tr>
      <w:tr>
        <w:trPr>
          <w:cantSplit/>
        </w:trPr>
        <w:tc>
          <w:tcPr>
            <w:tcW w:type="dxa" w:w="936"/>
            <w:tcMar>
              <w:top w:w="60" w:type="dxa"/>
              <w:start w:w="70" w:type="dxa"/>
              <w:bottom w:w="60" w:type="dxa"/>
              <w:end w:w="70" w:type="dxa"/>
            </w:tcMar>
            <w:vAlign w:val="center"/>
          </w:tcPr>
          <w:p>
            <w:pPr>
              <w:spacing w:after="0"/>
            </w:pPr>
            <w:r>
              <w:rPr>
                <w:sz w:val="18"/>
              </w:rPr>
              <w:t>SOCM 3</w:t>
            </w:r>
          </w:p>
        </w:tc>
        <w:tc>
          <w:tcPr>
            <w:tcW w:type="dxa" w:w="2232"/>
            <w:tcMar>
              <w:top w:w="60" w:type="dxa"/>
              <w:start w:w="70" w:type="dxa"/>
              <w:bottom w:w="60" w:type="dxa"/>
              <w:end w:w="70" w:type="dxa"/>
            </w:tcMar>
            <w:vAlign w:val="center"/>
          </w:tcPr>
          <w:p>
            <w:pPr>
              <w:spacing w:after="0"/>
            </w:pPr>
            <w:r>
              <w:rPr>
                <w:sz w:val="18"/>
              </w:rPr>
              <w:t>Recruit and retain high-quality faculty and staff with relevant expertise.</w:t>
            </w:r>
          </w:p>
        </w:tc>
        <w:tc>
          <w:tcPr>
            <w:tcW w:type="dxa" w:w="3528"/>
            <w:tcMar>
              <w:top w:w="60" w:type="dxa"/>
              <w:start w:w="70" w:type="dxa"/>
              <w:bottom w:w="60" w:type="dxa"/>
              <w:end w:w="70" w:type="dxa"/>
            </w:tcMar>
            <w:vAlign w:val="center"/>
          </w:tcPr>
          <w:p>
            <w:pPr>
              <w:spacing w:after="0"/>
            </w:pPr>
            <w:r>
              <w:rPr>
                <w:sz w:val="18"/>
              </w:rPr>
              <w:t>Faculty recruitment; competitive compensation; professional development; course development; administrative support.</w:t>
            </w:r>
          </w:p>
        </w:tc>
        <w:tc>
          <w:tcPr>
            <w:tcW w:type="dxa" w:w="2880"/>
            <w:tcMar>
              <w:top w:w="60" w:type="dxa"/>
              <w:start w:w="70" w:type="dxa"/>
              <w:bottom w:w="60" w:type="dxa"/>
              <w:end w:w="70" w:type="dxa"/>
            </w:tcMar>
            <w:vAlign w:val="center"/>
          </w:tcPr>
          <w:p>
            <w:pPr>
              <w:spacing w:after="0"/>
            </w:pPr>
            <w:r>
              <w:rPr>
                <w:sz w:val="18"/>
              </w:rPr>
              <w:t>Search and hiring records, workload, evaluations, development records, course-coverage review</w:t>
            </w:r>
          </w:p>
        </w:tc>
      </w:tr>
      <w:tr>
        <w:trPr>
          <w:cantSplit/>
        </w:trPr>
        <w:tc>
          <w:tcPr>
            <w:tcW w:type="dxa" w:w="936"/>
            <w:tcMar>
              <w:top w:w="60" w:type="dxa"/>
              <w:start w:w="70" w:type="dxa"/>
              <w:bottom w:w="60" w:type="dxa"/>
              <w:end w:w="70" w:type="dxa"/>
            </w:tcMar>
            <w:vAlign w:val="center"/>
          </w:tcPr>
          <w:p>
            <w:pPr>
              <w:spacing w:after="0"/>
            </w:pPr>
            <w:r>
              <w:rPr>
                <w:sz w:val="18"/>
              </w:rPr>
              <w:t>SOCM 4</w:t>
            </w:r>
          </w:p>
        </w:tc>
        <w:tc>
          <w:tcPr>
            <w:tcW w:type="dxa" w:w="2232"/>
            <w:tcMar>
              <w:top w:w="60" w:type="dxa"/>
              <w:start w:w="70" w:type="dxa"/>
              <w:bottom w:w="60" w:type="dxa"/>
              <w:end w:w="70" w:type="dxa"/>
            </w:tcMar>
            <w:vAlign w:val="center"/>
          </w:tcPr>
          <w:p>
            <w:pPr>
              <w:spacing w:after="0"/>
            </w:pPr>
            <w:r>
              <w:rPr>
                <w:sz w:val="18"/>
              </w:rPr>
              <w:t>Increase the reputation and advancement of the School.</w:t>
            </w:r>
          </w:p>
        </w:tc>
        <w:tc>
          <w:tcPr>
            <w:tcW w:type="dxa" w:w="3528"/>
            <w:tcMar>
              <w:top w:w="60" w:type="dxa"/>
              <w:start w:w="70" w:type="dxa"/>
              <w:bottom w:w="60" w:type="dxa"/>
              <w:end w:w="70" w:type="dxa"/>
            </w:tcMar>
            <w:vAlign w:val="center"/>
          </w:tcPr>
          <w:p>
            <w:pPr>
              <w:spacing w:after="0"/>
            </w:pPr>
            <w:r>
              <w:rPr>
                <w:sz w:val="18"/>
              </w:rPr>
              <w:t>Marketing; professional events; alumni and industry participation; continuing education; accreditation preparation.</w:t>
            </w:r>
          </w:p>
        </w:tc>
        <w:tc>
          <w:tcPr>
            <w:tcW w:type="dxa" w:w="2880"/>
            <w:tcMar>
              <w:top w:w="60" w:type="dxa"/>
              <w:start w:w="70" w:type="dxa"/>
              <w:bottom w:w="60" w:type="dxa"/>
              <w:end w:w="70" w:type="dxa"/>
            </w:tcMar>
            <w:vAlign w:val="center"/>
          </w:tcPr>
          <w:p>
            <w:pPr>
              <w:spacing w:after="0"/>
            </w:pPr>
            <w:r>
              <w:rPr>
                <w:sz w:val="18"/>
              </w:rPr>
              <w:t>Public communications, event records, professional participation, ACCE records</w:t>
            </w:r>
          </w:p>
        </w:tc>
      </w:tr>
      <w:tr>
        <w:trPr>
          <w:cantSplit/>
        </w:trPr>
        <w:tc>
          <w:tcPr>
            <w:tcW w:type="dxa" w:w="936"/>
            <w:tcMar>
              <w:top w:w="60" w:type="dxa"/>
              <w:start w:w="70" w:type="dxa"/>
              <w:bottom w:w="60" w:type="dxa"/>
              <w:end w:w="70" w:type="dxa"/>
            </w:tcMar>
            <w:vAlign w:val="center"/>
          </w:tcPr>
          <w:p>
            <w:pPr>
              <w:spacing w:after="0"/>
            </w:pPr>
            <w:r>
              <w:rPr>
                <w:sz w:val="18"/>
              </w:rPr>
              <w:t>IAC 1</w:t>
            </w:r>
          </w:p>
        </w:tc>
        <w:tc>
          <w:tcPr>
            <w:tcW w:type="dxa" w:w="2232"/>
            <w:tcMar>
              <w:top w:w="60" w:type="dxa"/>
              <w:start w:w="70" w:type="dxa"/>
              <w:bottom w:w="60" w:type="dxa"/>
              <w:end w:w="70" w:type="dxa"/>
            </w:tcMar>
            <w:vAlign w:val="center"/>
          </w:tcPr>
          <w:p>
            <w:pPr>
              <w:spacing w:after="0"/>
            </w:pPr>
            <w:r>
              <w:rPr>
                <w:sz w:val="18"/>
              </w:rPr>
              <w:t>Grow, diversify, and increase engagement of IAC members.</w:t>
            </w:r>
          </w:p>
        </w:tc>
        <w:tc>
          <w:tcPr>
            <w:tcW w:type="dxa" w:w="3528"/>
            <w:tcMar>
              <w:top w:w="60" w:type="dxa"/>
              <w:start w:w="70" w:type="dxa"/>
              <w:bottom w:w="60" w:type="dxa"/>
              <w:end w:w="70" w:type="dxa"/>
            </w:tcMar>
            <w:vAlign w:val="center"/>
          </w:tcPr>
          <w:p>
            <w:pPr>
              <w:spacing w:after="0"/>
            </w:pPr>
            <w:r>
              <w:rPr>
                <w:sz w:val="18"/>
              </w:rPr>
              <w:t>Membership growth, committees, meetings, program support and student engagement.</w:t>
            </w:r>
          </w:p>
        </w:tc>
        <w:tc>
          <w:tcPr>
            <w:tcW w:type="dxa" w:w="2880"/>
            <w:tcMar>
              <w:top w:w="60" w:type="dxa"/>
              <w:start w:w="70" w:type="dxa"/>
              <w:bottom w:w="60" w:type="dxa"/>
              <w:end w:w="70" w:type="dxa"/>
            </w:tcMar>
            <w:vAlign w:val="center"/>
          </w:tcPr>
          <w:p>
            <w:pPr>
              <w:spacing w:after="0"/>
            </w:pPr>
            <w:r>
              <w:rPr>
                <w:sz w:val="18"/>
              </w:rPr>
              <w:t>Membership rosters, committee reports, minutes, participation records</w:t>
            </w:r>
          </w:p>
        </w:tc>
      </w:tr>
      <w:tr>
        <w:trPr>
          <w:cantSplit/>
        </w:trPr>
        <w:tc>
          <w:tcPr>
            <w:tcW w:type="dxa" w:w="936"/>
            <w:tcMar>
              <w:top w:w="60" w:type="dxa"/>
              <w:start w:w="70" w:type="dxa"/>
              <w:bottom w:w="60" w:type="dxa"/>
              <w:end w:w="70" w:type="dxa"/>
            </w:tcMar>
            <w:vAlign w:val="center"/>
          </w:tcPr>
          <w:p>
            <w:pPr>
              <w:spacing w:after="0"/>
            </w:pPr>
            <w:r>
              <w:rPr>
                <w:sz w:val="18"/>
              </w:rPr>
              <w:t>IAC 2</w:t>
            </w:r>
          </w:p>
        </w:tc>
        <w:tc>
          <w:tcPr>
            <w:tcW w:type="dxa" w:w="2232"/>
            <w:tcMar>
              <w:top w:w="60" w:type="dxa"/>
              <w:start w:w="70" w:type="dxa"/>
              <w:bottom w:w="60" w:type="dxa"/>
              <w:end w:w="70" w:type="dxa"/>
            </w:tcMar>
            <w:vAlign w:val="center"/>
          </w:tcPr>
          <w:p>
            <w:pPr>
              <w:spacing w:after="0"/>
            </w:pPr>
            <w:r>
              <w:rPr>
                <w:sz w:val="18"/>
              </w:rPr>
              <w:t>Increase involvement and support from alumni and industry.</w:t>
            </w:r>
          </w:p>
        </w:tc>
        <w:tc>
          <w:tcPr>
            <w:tcW w:type="dxa" w:w="3528"/>
            <w:tcMar>
              <w:top w:w="60" w:type="dxa"/>
              <w:start w:w="70" w:type="dxa"/>
              <w:bottom w:w="60" w:type="dxa"/>
              <w:end w:w="70" w:type="dxa"/>
            </w:tcMar>
            <w:vAlign w:val="center"/>
          </w:tcPr>
          <w:p>
            <w:pPr>
              <w:spacing w:after="0"/>
            </w:pPr>
            <w:r>
              <w:rPr>
                <w:sz w:val="18"/>
              </w:rPr>
              <w:t>Alumni events, communication, fundraising and 60th-anniversary activities.</w:t>
            </w:r>
          </w:p>
        </w:tc>
        <w:tc>
          <w:tcPr>
            <w:tcW w:type="dxa" w:w="2880"/>
            <w:tcMar>
              <w:top w:w="60" w:type="dxa"/>
              <w:start w:w="70" w:type="dxa"/>
              <w:bottom w:w="60" w:type="dxa"/>
              <w:end w:w="70" w:type="dxa"/>
            </w:tcMar>
            <w:vAlign w:val="center"/>
          </w:tcPr>
          <w:p>
            <w:pPr>
              <w:spacing w:after="0"/>
            </w:pPr>
            <w:r>
              <w:rPr>
                <w:sz w:val="18"/>
              </w:rPr>
              <w:t>Event and communication records, contribution records, alumni participation</w:t>
            </w:r>
          </w:p>
        </w:tc>
      </w:tr>
    </w:tbl>
    <w:p>
      <w:pPr>
        <w:pStyle w:val="Heading2"/>
      </w:pPr>
      <w:r>
        <w:t>2.2 Spring 2026 Financial Implementation Summary</w:t>
      </w:r>
    </w:p>
    <w:p>
      <w:r>
        <w:t>The cost report identifies planned IAC-supported and related external resources for implementation. These amounts support the strategic plan and do not replace the recurring institutional operating budget documented in Section 7.</w:t>
      </w:r>
    </w:p>
    <w:tbl>
      <w:tblPr>
        <w:tblW w:type="auto" w:w="0"/>
        <w:jc w:val="center"/>
        <w:tblLayout w:type="fixed"/>
        <w:tblLook w:firstColumn="1" w:firstRow="1" w:lastColumn="0" w:lastRow="0" w:noHBand="0" w:noVBand="1" w:val="04A0"/>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blGrid>
        <w:gridCol w:w="2520"/>
        <w:gridCol w:w="2520"/>
        <w:gridCol w:w="2520"/>
        <w:gridCol w:w="2520"/>
      </w:tblGrid>
      <w:tr>
        <w:trPr>
          <w:tblHeader w:val="true"/>
          <w:cantSplit/>
        </w:trPr>
        <w:tc>
          <w:tcPr>
            <w:tcW w:type="dxa" w:w="1728"/>
            <w:shd w:fill="1F4E79"/>
            <w:tcMar>
              <w:top w:w="60" w:type="dxa"/>
              <w:start w:w="70" w:type="dxa"/>
              <w:bottom w:w="60" w:type="dxa"/>
              <w:end w:w="70" w:type="dxa"/>
            </w:tcMar>
            <w:vAlign w:val="center"/>
          </w:tcPr>
          <w:p>
            <w:pPr>
              <w:spacing w:after="0"/>
            </w:pPr>
            <w:r>
              <w:rPr>
                <w:b/>
                <w:color w:val="FFFFFF"/>
                <w:sz w:val="18"/>
              </w:rPr>
              <w:t>Fiscal year</w:t>
            </w:r>
          </w:p>
        </w:tc>
        <w:tc>
          <w:tcPr>
            <w:tcW w:type="dxa" w:w="2592"/>
            <w:shd w:fill="1F4E79"/>
            <w:tcMar>
              <w:top w:w="60" w:type="dxa"/>
              <w:start w:w="70" w:type="dxa"/>
              <w:bottom w:w="60" w:type="dxa"/>
              <w:end w:w="70" w:type="dxa"/>
            </w:tcMar>
            <w:vAlign w:val="center"/>
          </w:tcPr>
          <w:p>
            <w:pPr>
              <w:spacing w:after="0"/>
            </w:pPr>
            <w:r>
              <w:rPr>
                <w:b/>
                <w:color w:val="FFFFFF"/>
                <w:sz w:val="18"/>
              </w:rPr>
              <w:t>Revised plan</w:t>
            </w:r>
          </w:p>
        </w:tc>
        <w:tc>
          <w:tcPr>
            <w:tcW w:type="dxa" w:w="2592"/>
            <w:shd w:fill="1F4E79"/>
            <w:tcMar>
              <w:top w:w="60" w:type="dxa"/>
              <w:start w:w="70" w:type="dxa"/>
              <w:bottom w:w="60" w:type="dxa"/>
              <w:end w:w="70" w:type="dxa"/>
            </w:tcMar>
            <w:vAlign w:val="center"/>
          </w:tcPr>
          <w:p>
            <w:pPr>
              <w:spacing w:after="0"/>
            </w:pPr>
            <w:r>
              <w:rPr>
                <w:b/>
                <w:color w:val="FFFFFF"/>
                <w:sz w:val="18"/>
              </w:rPr>
              <w:t>Cost to date</w:t>
            </w:r>
          </w:p>
        </w:tc>
        <w:tc>
          <w:tcPr>
            <w:tcW w:type="dxa" w:w="2880"/>
            <w:shd w:fill="1F4E79"/>
            <w:tcMar>
              <w:top w:w="60" w:type="dxa"/>
              <w:start w:w="70" w:type="dxa"/>
              <w:bottom w:w="60" w:type="dxa"/>
              <w:end w:w="70" w:type="dxa"/>
            </w:tcMar>
            <w:vAlign w:val="center"/>
          </w:tcPr>
          <w:p>
            <w:pPr>
              <w:spacing w:after="0"/>
            </w:pPr>
            <w:r>
              <w:rPr>
                <w:b/>
                <w:color w:val="FFFFFF"/>
                <w:sz w:val="18"/>
              </w:rPr>
              <w:t>Available / over-under</w:t>
            </w:r>
          </w:p>
        </w:tc>
      </w:tr>
      <w:tr>
        <w:trPr>
          <w:cantSplit/>
        </w:trPr>
        <w:tc>
          <w:tcPr>
            <w:tcW w:type="dxa" w:w="1728"/>
            <w:tcMar>
              <w:top w:w="60" w:type="dxa"/>
              <w:start w:w="70" w:type="dxa"/>
              <w:bottom w:w="60" w:type="dxa"/>
              <w:end w:w="70" w:type="dxa"/>
            </w:tcMar>
            <w:vAlign w:val="center"/>
          </w:tcPr>
          <w:p>
            <w:pPr>
              <w:spacing w:after="0"/>
            </w:pPr>
            <w:r>
              <w:rPr>
                <w:sz w:val="18"/>
              </w:rPr>
              <w:t>FY 2025–26</w:t>
            </w:r>
          </w:p>
        </w:tc>
        <w:tc>
          <w:tcPr>
            <w:tcW w:type="dxa" w:w="2592"/>
            <w:tcMar>
              <w:top w:w="60" w:type="dxa"/>
              <w:start w:w="70" w:type="dxa"/>
              <w:bottom w:w="60" w:type="dxa"/>
              <w:end w:w="70" w:type="dxa"/>
            </w:tcMar>
            <w:vAlign w:val="center"/>
          </w:tcPr>
          <w:p>
            <w:pPr>
              <w:spacing w:after="0"/>
            </w:pPr>
            <w:r>
              <w:rPr>
                <w:sz w:val="18"/>
              </w:rPr>
              <w:t>$405,165.76</w:t>
            </w:r>
          </w:p>
        </w:tc>
        <w:tc>
          <w:tcPr>
            <w:tcW w:type="dxa" w:w="2592"/>
            <w:tcMar>
              <w:top w:w="60" w:type="dxa"/>
              <w:start w:w="70" w:type="dxa"/>
              <w:bottom w:w="60" w:type="dxa"/>
              <w:end w:w="70" w:type="dxa"/>
            </w:tcMar>
            <w:vAlign w:val="center"/>
          </w:tcPr>
          <w:p>
            <w:pPr>
              <w:spacing w:after="0"/>
            </w:pPr>
            <w:r>
              <w:rPr>
                <w:sz w:val="18"/>
              </w:rPr>
              <w:t>$139,736.36</w:t>
            </w:r>
          </w:p>
        </w:tc>
        <w:tc>
          <w:tcPr>
            <w:tcW w:type="dxa" w:w="2880"/>
            <w:tcMar>
              <w:top w:w="60" w:type="dxa"/>
              <w:start w:w="70" w:type="dxa"/>
              <w:bottom w:w="60" w:type="dxa"/>
              <w:end w:w="70" w:type="dxa"/>
            </w:tcMar>
            <w:vAlign w:val="center"/>
          </w:tcPr>
          <w:p>
            <w:pPr>
              <w:spacing w:after="0"/>
            </w:pPr>
            <w:r>
              <w:rPr>
                <w:sz w:val="18"/>
              </w:rPr>
              <w:t>$265,429.40</w:t>
            </w:r>
          </w:p>
        </w:tc>
      </w:tr>
      <w:tr>
        <w:trPr>
          <w:cantSplit/>
        </w:trPr>
        <w:tc>
          <w:tcPr>
            <w:tcW w:type="dxa" w:w="1728"/>
            <w:tcMar>
              <w:top w:w="60" w:type="dxa"/>
              <w:start w:w="70" w:type="dxa"/>
              <w:bottom w:w="60" w:type="dxa"/>
              <w:end w:w="70" w:type="dxa"/>
            </w:tcMar>
            <w:vAlign w:val="center"/>
          </w:tcPr>
          <w:p>
            <w:pPr>
              <w:spacing w:after="0"/>
            </w:pPr>
            <w:r>
              <w:rPr>
                <w:sz w:val="18"/>
              </w:rPr>
              <w:t>FY 2026–27</w:t>
            </w:r>
          </w:p>
        </w:tc>
        <w:tc>
          <w:tcPr>
            <w:tcW w:type="dxa" w:w="2592"/>
            <w:tcMar>
              <w:top w:w="60" w:type="dxa"/>
              <w:start w:w="70" w:type="dxa"/>
              <w:bottom w:w="60" w:type="dxa"/>
              <w:end w:w="70" w:type="dxa"/>
            </w:tcMar>
            <w:vAlign w:val="center"/>
          </w:tcPr>
          <w:p>
            <w:pPr>
              <w:spacing w:after="0"/>
            </w:pPr>
            <w:r>
              <w:rPr>
                <w:sz w:val="18"/>
              </w:rPr>
              <w:t>$546,000.00</w:t>
            </w:r>
          </w:p>
        </w:tc>
        <w:tc>
          <w:tcPr>
            <w:tcW w:type="dxa" w:w="2592"/>
            <w:tcMar>
              <w:top w:w="60" w:type="dxa"/>
              <w:start w:w="70" w:type="dxa"/>
              <w:bottom w:w="60" w:type="dxa"/>
              <w:end w:w="70" w:type="dxa"/>
            </w:tcMar>
            <w:vAlign w:val="center"/>
          </w:tcPr>
          <w:p>
            <w:pPr>
              <w:spacing w:after="0"/>
            </w:pPr>
            <w:r>
              <w:rPr>
                <w:sz w:val="18"/>
              </w:rPr>
              <w:t>—</w:t>
            </w:r>
          </w:p>
        </w:tc>
        <w:tc>
          <w:tcPr>
            <w:tcW w:type="dxa" w:w="2880"/>
            <w:tcMar>
              <w:top w:w="60" w:type="dxa"/>
              <w:start w:w="70" w:type="dxa"/>
              <w:bottom w:w="60" w:type="dxa"/>
              <w:end w:w="70" w:type="dxa"/>
            </w:tcMar>
            <w:vAlign w:val="center"/>
          </w:tcPr>
          <w:p>
            <w:pPr>
              <w:spacing w:after="0"/>
            </w:pPr>
            <w:r>
              <w:rPr>
                <w:sz w:val="18"/>
              </w:rPr>
              <w:t>—</w:t>
            </w:r>
          </w:p>
        </w:tc>
      </w:tr>
      <w:tr>
        <w:trPr>
          <w:cantSplit/>
        </w:trPr>
        <w:tc>
          <w:tcPr>
            <w:tcW w:type="dxa" w:w="1728"/>
            <w:tcMar>
              <w:top w:w="60" w:type="dxa"/>
              <w:start w:w="70" w:type="dxa"/>
              <w:bottom w:w="60" w:type="dxa"/>
              <w:end w:w="70" w:type="dxa"/>
            </w:tcMar>
            <w:vAlign w:val="center"/>
          </w:tcPr>
          <w:p>
            <w:pPr>
              <w:spacing w:after="0"/>
            </w:pPr>
            <w:r>
              <w:rPr>
                <w:sz w:val="18"/>
              </w:rPr>
              <w:t>FY 2027–28</w:t>
            </w:r>
          </w:p>
        </w:tc>
        <w:tc>
          <w:tcPr>
            <w:tcW w:type="dxa" w:w="2592"/>
            <w:tcMar>
              <w:top w:w="60" w:type="dxa"/>
              <w:start w:w="70" w:type="dxa"/>
              <w:bottom w:w="60" w:type="dxa"/>
              <w:end w:w="70" w:type="dxa"/>
            </w:tcMar>
            <w:vAlign w:val="center"/>
          </w:tcPr>
          <w:p>
            <w:pPr>
              <w:spacing w:after="0"/>
            </w:pPr>
            <w:r>
              <w:rPr>
                <w:sz w:val="18"/>
              </w:rPr>
              <w:t>$252,500.00</w:t>
            </w:r>
          </w:p>
        </w:tc>
        <w:tc>
          <w:tcPr>
            <w:tcW w:type="dxa" w:w="2592"/>
            <w:tcMar>
              <w:top w:w="60" w:type="dxa"/>
              <w:start w:w="70" w:type="dxa"/>
              <w:bottom w:w="60" w:type="dxa"/>
              <w:end w:w="70" w:type="dxa"/>
            </w:tcMar>
            <w:vAlign w:val="center"/>
          </w:tcPr>
          <w:p>
            <w:pPr>
              <w:spacing w:after="0"/>
            </w:pPr>
            <w:r>
              <w:rPr>
                <w:sz w:val="18"/>
              </w:rPr>
              <w:t>—</w:t>
            </w:r>
          </w:p>
        </w:tc>
        <w:tc>
          <w:tcPr>
            <w:tcW w:type="dxa" w:w="2880"/>
            <w:tcMar>
              <w:top w:w="60" w:type="dxa"/>
              <w:start w:w="70" w:type="dxa"/>
              <w:bottom w:w="60" w:type="dxa"/>
              <w:end w:w="70" w:type="dxa"/>
            </w:tcMar>
            <w:vAlign w:val="center"/>
          </w:tcPr>
          <w:p>
            <w:pPr>
              <w:spacing w:after="0"/>
            </w:pPr>
            <w:r>
              <w:rPr>
                <w:sz w:val="18"/>
              </w:rPr>
              <w:t>—</w:t>
            </w:r>
          </w:p>
        </w:tc>
      </w:tr>
      <w:tr>
        <w:trPr>
          <w:cantSplit/>
        </w:trPr>
        <w:tc>
          <w:tcPr>
            <w:tcW w:type="dxa" w:w="1728"/>
            <w:tcMar>
              <w:top w:w="60" w:type="dxa"/>
              <w:start w:w="70" w:type="dxa"/>
              <w:bottom w:w="60" w:type="dxa"/>
              <w:end w:w="70" w:type="dxa"/>
            </w:tcMar>
            <w:vAlign w:val="center"/>
          </w:tcPr>
          <w:p>
            <w:pPr>
              <w:spacing w:after="0"/>
            </w:pPr>
            <w:r>
              <w:rPr>
                <w:sz w:val="18"/>
              </w:rPr>
              <w:t>FY 2028–29</w:t>
            </w:r>
          </w:p>
        </w:tc>
        <w:tc>
          <w:tcPr>
            <w:tcW w:type="dxa" w:w="2592"/>
            <w:tcMar>
              <w:top w:w="60" w:type="dxa"/>
              <w:start w:w="70" w:type="dxa"/>
              <w:bottom w:w="60" w:type="dxa"/>
              <w:end w:w="70" w:type="dxa"/>
            </w:tcMar>
            <w:vAlign w:val="center"/>
          </w:tcPr>
          <w:p>
            <w:pPr>
              <w:spacing w:after="0"/>
            </w:pPr>
            <w:r>
              <w:rPr>
                <w:sz w:val="18"/>
              </w:rPr>
              <w:t>$215,000.00</w:t>
            </w:r>
          </w:p>
        </w:tc>
        <w:tc>
          <w:tcPr>
            <w:tcW w:type="dxa" w:w="2592"/>
            <w:tcMar>
              <w:top w:w="60" w:type="dxa"/>
              <w:start w:w="70" w:type="dxa"/>
              <w:bottom w:w="60" w:type="dxa"/>
              <w:end w:w="70" w:type="dxa"/>
            </w:tcMar>
            <w:vAlign w:val="center"/>
          </w:tcPr>
          <w:p>
            <w:pPr>
              <w:spacing w:after="0"/>
            </w:pPr>
            <w:r>
              <w:rPr>
                <w:sz w:val="18"/>
              </w:rPr>
              <w:t>—</w:t>
            </w:r>
          </w:p>
        </w:tc>
        <w:tc>
          <w:tcPr>
            <w:tcW w:type="dxa" w:w="2880"/>
            <w:tcMar>
              <w:top w:w="60" w:type="dxa"/>
              <w:start w:w="70" w:type="dxa"/>
              <w:bottom w:w="60" w:type="dxa"/>
              <w:end w:w="70" w:type="dxa"/>
            </w:tcMar>
            <w:vAlign w:val="center"/>
          </w:tcPr>
          <w:p>
            <w:pPr>
              <w:spacing w:after="0"/>
            </w:pPr>
            <w:r>
              <w:rPr>
                <w:sz w:val="18"/>
              </w:rPr>
              <w:t>—</w:t>
            </w:r>
          </w:p>
        </w:tc>
      </w:tr>
      <w:tr>
        <w:trPr>
          <w:cantSplit/>
        </w:trPr>
        <w:tc>
          <w:tcPr>
            <w:tcW w:type="dxa" w:w="1728"/>
            <w:tcMar>
              <w:top w:w="60" w:type="dxa"/>
              <w:start w:w="70" w:type="dxa"/>
              <w:bottom w:w="60" w:type="dxa"/>
              <w:end w:w="70" w:type="dxa"/>
            </w:tcMar>
            <w:vAlign w:val="center"/>
          </w:tcPr>
          <w:p>
            <w:pPr>
              <w:spacing w:after="0"/>
            </w:pPr>
            <w:r>
              <w:rPr>
                <w:sz w:val="18"/>
              </w:rPr>
              <w:t>Plan total</w:t>
            </w:r>
          </w:p>
        </w:tc>
        <w:tc>
          <w:tcPr>
            <w:tcW w:type="dxa" w:w="2592"/>
            <w:tcMar>
              <w:top w:w="60" w:type="dxa"/>
              <w:start w:w="70" w:type="dxa"/>
              <w:bottom w:w="60" w:type="dxa"/>
              <w:end w:w="70" w:type="dxa"/>
            </w:tcMar>
            <w:vAlign w:val="center"/>
          </w:tcPr>
          <w:p>
            <w:pPr>
              <w:spacing w:after="0"/>
            </w:pPr>
            <w:r>
              <w:rPr>
                <w:sz w:val="18"/>
              </w:rPr>
              <w:t>$1,617,000.00</w:t>
            </w:r>
          </w:p>
        </w:tc>
        <w:tc>
          <w:tcPr>
            <w:tcW w:type="dxa" w:w="2592"/>
            <w:tcMar>
              <w:top w:w="60" w:type="dxa"/>
              <w:start w:w="70" w:type="dxa"/>
              <w:bottom w:w="60" w:type="dxa"/>
              <w:end w:w="70" w:type="dxa"/>
            </w:tcMar>
            <w:vAlign w:val="center"/>
          </w:tcPr>
          <w:p>
            <w:pPr>
              <w:spacing w:after="0"/>
            </w:pPr>
            <w:r>
              <w:rPr>
                <w:sz w:val="18"/>
              </w:rPr>
              <w:t>See detailed report</w:t>
            </w:r>
          </w:p>
        </w:tc>
        <w:tc>
          <w:tcPr>
            <w:tcW w:type="dxa" w:w="2880"/>
            <w:tcMar>
              <w:top w:w="60" w:type="dxa"/>
              <w:start w:w="70" w:type="dxa"/>
              <w:bottom w:w="60" w:type="dxa"/>
              <w:end w:w="70" w:type="dxa"/>
            </w:tcMar>
            <w:vAlign w:val="center"/>
          </w:tcPr>
          <w:p>
            <w:pPr>
              <w:spacing w:after="0"/>
            </w:pPr>
            <w:r>
              <w:rPr>
                <w:sz w:val="18"/>
              </w:rPr>
              <w:t>See detailed report</w:t>
            </w:r>
          </w:p>
        </w:tc>
      </w:tr>
    </w:tbl>
    <w:p>
      <w:pPr>
        <w:spacing w:before="80" w:after="80"/>
      </w:pPr>
      <w:r>
        <w:rPr>
          <w:b/>
          <w:sz w:val="17"/>
        </w:rPr>
        <w:t xml:space="preserve">Source: </w:t>
      </w:r>
      <w:r>
        <w:rPr>
          <w:i/>
          <w:sz w:val="17"/>
        </w:rPr>
        <w:t>Spring 2026 Updated ULM SOCM IAC Strategic Plan (2024–2028) Cost Report.</w:t>
      </w:r>
    </w:p>
    <w:tbl>
      <w:tblPr>
        <w:tblW w:type="auto" w:w="0"/>
        <w:jc w:val="center"/>
        <w:tblLayout w:type="fixed"/>
        <w:tblLook w:firstColumn="1" w:firstRow="1" w:lastColumn="0" w:lastRow="0" w:noHBand="0" w:noVBand="1" w:val="04A0"/>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blGrid>
        <w:gridCol w:w="3360"/>
        <w:gridCol w:w="3360"/>
        <w:gridCol w:w="3360"/>
      </w:tblGrid>
      <w:tr>
        <w:trPr>
          <w:tblHeader w:val="true"/>
          <w:cantSplit/>
        </w:trPr>
        <w:tc>
          <w:tcPr>
            <w:tcW w:type="dxa" w:w="2592"/>
            <w:shd w:fill="1F4E79"/>
            <w:tcMar>
              <w:top w:w="60" w:type="dxa"/>
              <w:start w:w="70" w:type="dxa"/>
              <w:bottom w:w="60" w:type="dxa"/>
              <w:end w:w="70" w:type="dxa"/>
            </w:tcMar>
            <w:vAlign w:val="center"/>
          </w:tcPr>
          <w:p>
            <w:pPr>
              <w:spacing w:after="0"/>
            </w:pPr>
            <w:r>
              <w:rPr>
                <w:b/>
                <w:color w:val="FFFFFF"/>
                <w:sz w:val="18"/>
              </w:rPr>
              <w:t>Priority investment</w:t>
            </w:r>
          </w:p>
        </w:tc>
        <w:tc>
          <w:tcPr>
            <w:tcW w:type="dxa" w:w="3888"/>
            <w:shd w:fill="1F4E79"/>
            <w:tcMar>
              <w:top w:w="60" w:type="dxa"/>
              <w:start w:w="70" w:type="dxa"/>
              <w:bottom w:w="60" w:type="dxa"/>
              <w:end w:w="70" w:type="dxa"/>
            </w:tcMar>
            <w:vAlign w:val="center"/>
          </w:tcPr>
          <w:p>
            <w:pPr>
              <w:spacing w:after="0"/>
            </w:pPr>
            <w:r>
              <w:rPr>
                <w:b/>
                <w:color w:val="FFFFFF"/>
                <w:sz w:val="18"/>
              </w:rPr>
              <w:t>Current plan basis</w:t>
            </w:r>
          </w:p>
        </w:tc>
        <w:tc>
          <w:tcPr>
            <w:tcW w:type="dxa" w:w="3312"/>
            <w:shd w:fill="1F4E79"/>
            <w:tcMar>
              <w:top w:w="60" w:type="dxa"/>
              <w:start w:w="70" w:type="dxa"/>
              <w:bottom w:w="60" w:type="dxa"/>
              <w:end w:w="70" w:type="dxa"/>
            </w:tcMar>
            <w:vAlign w:val="center"/>
          </w:tcPr>
          <w:p>
            <w:pPr>
              <w:spacing w:after="0"/>
            </w:pPr>
            <w:r>
              <w:rPr>
                <w:b/>
                <w:color w:val="FFFFFF"/>
                <w:sz w:val="18"/>
              </w:rPr>
              <w:t>Assessment evidence</w:t>
            </w:r>
          </w:p>
        </w:tc>
      </w:tr>
      <w:tr>
        <w:trPr>
          <w:cantSplit/>
        </w:trPr>
        <w:tc>
          <w:tcPr>
            <w:tcW w:type="dxa" w:w="2592"/>
            <w:tcMar>
              <w:top w:w="60" w:type="dxa"/>
              <w:start w:w="70" w:type="dxa"/>
              <w:bottom w:w="60" w:type="dxa"/>
              <w:end w:w="70" w:type="dxa"/>
            </w:tcMar>
            <w:vAlign w:val="center"/>
          </w:tcPr>
          <w:p>
            <w:pPr>
              <w:spacing w:after="0"/>
            </w:pPr>
            <w:r>
              <w:rPr>
                <w:sz w:val="18"/>
              </w:rPr>
              <w:t>Software and curriculum technology</w:t>
            </w:r>
          </w:p>
        </w:tc>
        <w:tc>
          <w:tcPr>
            <w:tcW w:type="dxa" w:w="3888"/>
            <w:tcMar>
              <w:top w:w="60" w:type="dxa"/>
              <w:start w:w="70" w:type="dxa"/>
              <w:bottom w:w="60" w:type="dxa"/>
              <w:end w:w="70" w:type="dxa"/>
            </w:tcMar>
            <w:vAlign w:val="center"/>
          </w:tcPr>
          <w:p>
            <w:pPr>
              <w:spacing w:after="0"/>
            </w:pPr>
            <w:r>
              <w:rPr>
                <w:sz w:val="18"/>
              </w:rPr>
              <w:t>$64,000 revised for FY 2025–26; $81,145.92 plan subtotal</w:t>
            </w:r>
          </w:p>
        </w:tc>
        <w:tc>
          <w:tcPr>
            <w:tcW w:type="dxa" w:w="3312"/>
            <w:tcMar>
              <w:top w:w="60" w:type="dxa"/>
              <w:start w:w="70" w:type="dxa"/>
              <w:bottom w:w="60" w:type="dxa"/>
              <w:end w:w="70" w:type="dxa"/>
            </w:tcMar>
            <w:vAlign w:val="center"/>
          </w:tcPr>
          <w:p>
            <w:pPr>
              <w:spacing w:after="0"/>
            </w:pPr>
            <w:r>
              <w:rPr>
                <w:sz w:val="18"/>
              </w:rPr>
              <w:t>Software access, integration, training, and course evidence</w:t>
            </w:r>
          </w:p>
        </w:tc>
      </w:tr>
      <w:tr>
        <w:trPr>
          <w:cantSplit/>
        </w:trPr>
        <w:tc>
          <w:tcPr>
            <w:tcW w:type="dxa" w:w="2592"/>
            <w:tcMar>
              <w:top w:w="60" w:type="dxa"/>
              <w:start w:w="70" w:type="dxa"/>
              <w:bottom w:w="60" w:type="dxa"/>
              <w:end w:w="70" w:type="dxa"/>
            </w:tcMar>
            <w:vAlign w:val="center"/>
          </w:tcPr>
          <w:p>
            <w:pPr>
              <w:spacing w:after="0"/>
            </w:pPr>
            <w:r>
              <w:rPr>
                <w:sz w:val="18"/>
              </w:rPr>
              <w:t>Facilities and practice spaces</w:t>
            </w:r>
          </w:p>
        </w:tc>
        <w:tc>
          <w:tcPr>
            <w:tcW w:type="dxa" w:w="3888"/>
            <w:tcMar>
              <w:top w:w="60" w:type="dxa"/>
              <w:start w:w="70" w:type="dxa"/>
              <w:bottom w:w="60" w:type="dxa"/>
              <w:end w:w="70" w:type="dxa"/>
            </w:tcMar>
            <w:vAlign w:val="center"/>
          </w:tcPr>
          <w:p>
            <w:pPr>
              <w:spacing w:after="0"/>
            </w:pPr>
            <w:r>
              <w:rPr>
                <w:sz w:val="18"/>
              </w:rPr>
              <w:t>$175,000 faculty-suite update and $70,000 restroom update planned for FY 2026–27; temporary outdoor practice space completed</w:t>
            </w:r>
          </w:p>
        </w:tc>
        <w:tc>
          <w:tcPr>
            <w:tcW w:type="dxa" w:w="3312"/>
            <w:tcMar>
              <w:top w:w="60" w:type="dxa"/>
              <w:start w:w="70" w:type="dxa"/>
              <w:bottom w:w="60" w:type="dxa"/>
              <w:end w:w="70" w:type="dxa"/>
            </w:tcMar>
            <w:vAlign w:val="center"/>
          </w:tcPr>
          <w:p>
            <w:pPr>
              <w:spacing w:after="0"/>
            </w:pPr>
            <w:r>
              <w:rPr>
                <w:sz w:val="18"/>
              </w:rPr>
              <w:t>Project scope, approvals, installation/completion, accessibility and safety review</w:t>
            </w:r>
          </w:p>
        </w:tc>
      </w:tr>
      <w:tr>
        <w:trPr>
          <w:cantSplit/>
        </w:trPr>
        <w:tc>
          <w:tcPr>
            <w:tcW w:type="dxa" w:w="2592"/>
            <w:tcMar>
              <w:top w:w="60" w:type="dxa"/>
              <w:start w:w="70" w:type="dxa"/>
              <w:bottom w:w="60" w:type="dxa"/>
              <w:end w:w="70" w:type="dxa"/>
            </w:tcMar>
            <w:vAlign w:val="center"/>
          </w:tcPr>
          <w:p>
            <w:pPr>
              <w:spacing w:after="0"/>
            </w:pPr>
            <w:r>
              <w:rPr>
                <w:sz w:val="18"/>
              </w:rPr>
              <w:t>Emerging technology</w:t>
            </w:r>
          </w:p>
        </w:tc>
        <w:tc>
          <w:tcPr>
            <w:tcW w:type="dxa" w:w="3888"/>
            <w:tcMar>
              <w:top w:w="60" w:type="dxa"/>
              <w:start w:w="70" w:type="dxa"/>
              <w:bottom w:w="60" w:type="dxa"/>
              <w:end w:w="70" w:type="dxa"/>
            </w:tcMar>
            <w:vAlign w:val="center"/>
          </w:tcPr>
          <w:p>
            <w:pPr>
              <w:spacing w:after="0"/>
            </w:pPr>
            <w:r>
              <w:rPr>
                <w:sz w:val="18"/>
              </w:rPr>
              <w:t>$20,000 annually in FY 2026–27 through FY 2028–29</w:t>
            </w:r>
          </w:p>
        </w:tc>
        <w:tc>
          <w:tcPr>
            <w:tcW w:type="dxa" w:w="3312"/>
            <w:tcMar>
              <w:top w:w="60" w:type="dxa"/>
              <w:start w:w="70" w:type="dxa"/>
              <w:bottom w:w="60" w:type="dxa"/>
              <w:end w:w="70" w:type="dxa"/>
            </w:tcMar>
            <w:vAlign w:val="center"/>
          </w:tcPr>
          <w:p>
            <w:pPr>
              <w:spacing w:after="0"/>
            </w:pPr>
            <w:r>
              <w:rPr>
                <w:sz w:val="18"/>
              </w:rPr>
              <w:t>Annual acquisition, use, and curriculum-impact record</w:t>
            </w:r>
          </w:p>
        </w:tc>
      </w:tr>
      <w:tr>
        <w:trPr>
          <w:cantSplit/>
        </w:trPr>
        <w:tc>
          <w:tcPr>
            <w:tcW w:type="dxa" w:w="2592"/>
            <w:tcMar>
              <w:top w:w="60" w:type="dxa"/>
              <w:start w:w="70" w:type="dxa"/>
              <w:bottom w:w="60" w:type="dxa"/>
              <w:end w:w="70" w:type="dxa"/>
            </w:tcMar>
            <w:vAlign w:val="center"/>
          </w:tcPr>
          <w:p>
            <w:pPr>
              <w:spacing w:after="0"/>
            </w:pPr>
            <w:r>
              <w:rPr>
                <w:sz w:val="18"/>
              </w:rPr>
              <w:t>Room 127 computer update</w:t>
            </w:r>
          </w:p>
        </w:tc>
        <w:tc>
          <w:tcPr>
            <w:tcW w:type="dxa" w:w="3888"/>
            <w:tcMar>
              <w:top w:w="60" w:type="dxa"/>
              <w:start w:w="70" w:type="dxa"/>
              <w:bottom w:w="60" w:type="dxa"/>
              <w:end w:w="70" w:type="dxa"/>
            </w:tcMar>
            <w:vAlign w:val="center"/>
          </w:tcPr>
          <w:p>
            <w:pPr>
              <w:spacing w:after="0"/>
            </w:pPr>
            <w:r>
              <w:rPr>
                <w:sz w:val="18"/>
              </w:rPr>
              <w:t>$56,665.76 revised amount</w:t>
            </w:r>
          </w:p>
        </w:tc>
        <w:tc>
          <w:tcPr>
            <w:tcW w:type="dxa" w:w="3312"/>
            <w:tcMar>
              <w:top w:w="60" w:type="dxa"/>
              <w:start w:w="70" w:type="dxa"/>
              <w:bottom w:w="60" w:type="dxa"/>
              <w:end w:w="70" w:type="dxa"/>
            </w:tcMar>
            <w:vAlign w:val="center"/>
          </w:tcPr>
          <w:p>
            <w:pPr>
              <w:spacing w:after="0"/>
            </w:pPr>
            <w:r>
              <w:rPr>
                <w:sz w:val="18"/>
              </w:rPr>
              <w:t>Purchase, installation, inventory, licensing and replacement-cycle records</w:t>
            </w:r>
          </w:p>
        </w:tc>
      </w:tr>
      <w:tr>
        <w:trPr>
          <w:cantSplit/>
        </w:trPr>
        <w:tc>
          <w:tcPr>
            <w:tcW w:type="dxa" w:w="2592"/>
            <w:tcMar>
              <w:top w:w="60" w:type="dxa"/>
              <w:start w:w="70" w:type="dxa"/>
              <w:bottom w:w="60" w:type="dxa"/>
              <w:end w:w="70" w:type="dxa"/>
            </w:tcMar>
            <w:vAlign w:val="center"/>
          </w:tcPr>
          <w:p>
            <w:pPr>
              <w:spacing w:after="0"/>
            </w:pPr>
            <w:r>
              <w:rPr>
                <w:sz w:val="18"/>
              </w:rPr>
              <w:t>Course materials and online development</w:t>
            </w:r>
          </w:p>
        </w:tc>
        <w:tc>
          <w:tcPr>
            <w:tcW w:type="dxa" w:w="3888"/>
            <w:tcMar>
              <w:top w:w="60" w:type="dxa"/>
              <w:start w:w="70" w:type="dxa"/>
              <w:bottom w:w="60" w:type="dxa"/>
              <w:end w:w="70" w:type="dxa"/>
            </w:tcMar>
            <w:vAlign w:val="center"/>
          </w:tcPr>
          <w:p>
            <w:pPr>
              <w:spacing w:after="0"/>
            </w:pPr>
            <w:r>
              <w:rPr>
                <w:sz w:val="18"/>
              </w:rPr>
              <w:t>$71,497.55 plan subtotal</w:t>
            </w:r>
          </w:p>
        </w:tc>
        <w:tc>
          <w:tcPr>
            <w:tcW w:type="dxa" w:w="3312"/>
            <w:tcMar>
              <w:top w:w="60" w:type="dxa"/>
              <w:start w:w="70" w:type="dxa"/>
              <w:bottom w:w="60" w:type="dxa"/>
              <w:end w:w="70" w:type="dxa"/>
            </w:tcMar>
            <w:vAlign w:val="center"/>
          </w:tcPr>
          <w:p>
            <w:pPr>
              <w:spacing w:after="0"/>
            </w:pPr>
            <w:r>
              <w:rPr>
                <w:sz w:val="18"/>
              </w:rPr>
              <w:t>Updated materials, development records and course-quality review</w:t>
            </w:r>
          </w:p>
        </w:tc>
      </w:tr>
    </w:tbl>
    <w:tbl>
      <w:tblPr>
        <w:tblW w:type="auto" w:w="0"/>
        <w:jc w:val="center"/>
        <w:tblLayout w:type="fixed"/>
        <w:tblLook w:firstColumn="1" w:firstRow="1" w:lastColumn="0" w:lastRow="0" w:noHBand="0" w:noVBand="1" w:val="04A0"/>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blGrid>
        <w:gridCol w:w="3360"/>
        <w:gridCol w:w="3360"/>
        <w:gridCol w:w="3360"/>
      </w:tblGrid>
      <w:tr>
        <w:trPr>
          <w:tblHeader w:val="true"/>
          <w:cantSplit/>
        </w:trPr>
        <w:tc>
          <w:tcPr>
            <w:tcW w:type="dxa" w:w="2592"/>
            <w:shd w:fill="1F4E79"/>
            <w:tcMar>
              <w:top w:w="60" w:type="dxa"/>
              <w:start w:w="70" w:type="dxa"/>
              <w:bottom w:w="60" w:type="dxa"/>
              <w:end w:w="70" w:type="dxa"/>
            </w:tcMar>
            <w:vAlign w:val="center"/>
          </w:tcPr>
          <w:p>
            <w:pPr>
              <w:spacing w:after="0"/>
            </w:pPr>
            <w:r>
              <w:rPr>
                <w:b/>
                <w:color w:val="FFFFFF"/>
                <w:sz w:val="18"/>
              </w:rPr>
              <w:t>Priority investment</w:t>
            </w:r>
          </w:p>
        </w:tc>
        <w:tc>
          <w:tcPr>
            <w:tcW w:type="dxa" w:w="3888"/>
            <w:shd w:fill="1F4E79"/>
            <w:tcMar>
              <w:top w:w="60" w:type="dxa"/>
              <w:start w:w="70" w:type="dxa"/>
              <w:bottom w:w="60" w:type="dxa"/>
              <w:end w:w="70" w:type="dxa"/>
            </w:tcMar>
            <w:vAlign w:val="center"/>
          </w:tcPr>
          <w:p>
            <w:pPr>
              <w:spacing w:after="0"/>
            </w:pPr>
            <w:r>
              <w:rPr>
                <w:b/>
                <w:color w:val="FFFFFF"/>
                <w:sz w:val="18"/>
              </w:rPr>
              <w:t>Current plan basis</w:t>
            </w:r>
          </w:p>
        </w:tc>
        <w:tc>
          <w:tcPr>
            <w:tcW w:type="dxa" w:w="3312"/>
            <w:shd w:fill="1F4E79"/>
            <w:tcMar>
              <w:top w:w="60" w:type="dxa"/>
              <w:start w:w="70" w:type="dxa"/>
              <w:bottom w:w="60" w:type="dxa"/>
              <w:end w:w="70" w:type="dxa"/>
            </w:tcMar>
            <w:vAlign w:val="center"/>
          </w:tcPr>
          <w:p>
            <w:pPr>
              <w:spacing w:after="0"/>
            </w:pPr>
            <w:r>
              <w:rPr>
                <w:b/>
                <w:color w:val="FFFFFF"/>
                <w:sz w:val="18"/>
              </w:rPr>
              <w:t>Assessment evidence</w:t>
            </w:r>
          </w:p>
        </w:tc>
      </w:tr>
      <w:tr>
        <w:trPr>
          <w:cantSplit/>
        </w:trPr>
        <w:tc>
          <w:tcPr>
            <w:tcW w:type="dxa" w:w="2592"/>
            <w:tcMar>
              <w:top w:w="60" w:type="dxa"/>
              <w:start w:w="70" w:type="dxa"/>
              <w:bottom w:w="60" w:type="dxa"/>
              <w:end w:w="70" w:type="dxa"/>
            </w:tcMar>
            <w:vAlign w:val="center"/>
          </w:tcPr>
          <w:p>
            <w:pPr>
              <w:spacing w:after="0"/>
            </w:pPr>
            <w:r>
              <w:rPr>
                <w:sz w:val="18"/>
              </w:rPr>
              <w:t>Administrative support</w:t>
            </w:r>
          </w:p>
        </w:tc>
        <w:tc>
          <w:tcPr>
            <w:tcW w:type="dxa" w:w="3888"/>
            <w:tcMar>
              <w:top w:w="60" w:type="dxa"/>
              <w:start w:w="70" w:type="dxa"/>
              <w:bottom w:w="60" w:type="dxa"/>
              <w:end w:w="70" w:type="dxa"/>
            </w:tcMar>
            <w:vAlign w:val="center"/>
          </w:tcPr>
          <w:p>
            <w:pPr>
              <w:spacing w:after="0"/>
            </w:pPr>
            <w:r>
              <w:rPr>
                <w:sz w:val="18"/>
              </w:rPr>
              <w:t>$273,455.13 plan subtotal</w:t>
            </w:r>
          </w:p>
        </w:tc>
        <w:tc>
          <w:tcPr>
            <w:tcW w:type="dxa" w:w="3312"/>
            <w:tcMar>
              <w:top w:w="60" w:type="dxa"/>
              <w:start w:w="70" w:type="dxa"/>
              <w:bottom w:w="60" w:type="dxa"/>
              <w:end w:w="70" w:type="dxa"/>
            </w:tcMar>
            <w:vAlign w:val="center"/>
          </w:tcPr>
          <w:p>
            <w:pPr>
              <w:spacing w:after="0"/>
            </w:pPr>
            <w:r>
              <w:rPr>
                <w:sz w:val="18"/>
              </w:rPr>
              <w:t>Staffing record and documented support for program operations</w:t>
            </w:r>
          </w:p>
        </w:tc>
      </w:tr>
    </w:tbl>
    <w:p>
      <w:pPr>
        <w:pStyle w:val="Heading2"/>
      </w:pPr>
      <w:r>
        <w:t>2.3 Internal and External Review</w:t>
      </w:r>
    </w:p>
    <w:tbl>
      <w:tblPr>
        <w:tblW w:type="auto" w:w="0"/>
        <w:jc w:val="center"/>
        <w:tblLayout w:type="fixed"/>
        <w:tblLook w:firstColumn="1" w:firstRow="1" w:lastColumn="0" w:lastRow="0" w:noHBand="0" w:noVBand="1" w:val="04A0"/>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blGrid>
        <w:gridCol w:w="3360"/>
        <w:gridCol w:w="3360"/>
        <w:gridCol w:w="3360"/>
      </w:tblGrid>
      <w:tr>
        <w:trPr>
          <w:tblHeader w:val="true"/>
          <w:cantSplit/>
        </w:trPr>
        <w:tc>
          <w:tcPr>
            <w:tcW w:type="dxa" w:w="1296"/>
            <w:shd w:fill="1F4E79"/>
            <w:tcMar>
              <w:top w:w="60" w:type="dxa"/>
              <w:start w:w="70" w:type="dxa"/>
              <w:bottom w:w="60" w:type="dxa"/>
              <w:end w:w="70" w:type="dxa"/>
            </w:tcMar>
            <w:vAlign w:val="center"/>
          </w:tcPr>
          <w:p>
            <w:pPr>
              <w:spacing w:after="0"/>
            </w:pPr>
            <w:r>
              <w:rPr>
                <w:b/>
                <w:color w:val="FFFFFF"/>
                <w:sz w:val="18"/>
              </w:rPr>
              <w:t>Context</w:t>
            </w:r>
          </w:p>
        </w:tc>
        <w:tc>
          <w:tcPr>
            <w:tcW w:type="dxa" w:w="2880"/>
            <w:shd w:fill="1F4E79"/>
            <w:tcMar>
              <w:top w:w="60" w:type="dxa"/>
              <w:start w:w="70" w:type="dxa"/>
              <w:bottom w:w="60" w:type="dxa"/>
              <w:end w:w="70" w:type="dxa"/>
            </w:tcMar>
            <w:vAlign w:val="center"/>
          </w:tcPr>
          <w:p>
            <w:pPr>
              <w:spacing w:after="0"/>
            </w:pPr>
            <w:r>
              <w:rPr>
                <w:b/>
                <w:color w:val="FFFFFF"/>
                <w:sz w:val="18"/>
              </w:rPr>
              <w:t>Factor</w:t>
            </w:r>
          </w:p>
        </w:tc>
        <w:tc>
          <w:tcPr>
            <w:tcW w:type="dxa" w:w="5616"/>
            <w:shd w:fill="1F4E79"/>
            <w:tcMar>
              <w:top w:w="60" w:type="dxa"/>
              <w:start w:w="70" w:type="dxa"/>
              <w:bottom w:w="60" w:type="dxa"/>
              <w:end w:w="70" w:type="dxa"/>
            </w:tcMar>
            <w:vAlign w:val="center"/>
          </w:tcPr>
          <w:p>
            <w:pPr>
              <w:spacing w:after="0"/>
            </w:pPr>
            <w:r>
              <w:rPr>
                <w:b/>
                <w:color w:val="FFFFFF"/>
                <w:sz w:val="18"/>
              </w:rPr>
              <w:t>Evidence reviewed</w:t>
            </w:r>
          </w:p>
        </w:tc>
      </w:tr>
      <w:tr>
        <w:trPr>
          <w:cantSplit/>
        </w:trPr>
        <w:tc>
          <w:tcPr>
            <w:tcW w:type="dxa" w:w="1296"/>
            <w:tcMar>
              <w:top w:w="60" w:type="dxa"/>
              <w:start w:w="70" w:type="dxa"/>
              <w:bottom w:w="60" w:type="dxa"/>
              <w:end w:w="70" w:type="dxa"/>
            </w:tcMar>
            <w:vAlign w:val="center"/>
          </w:tcPr>
          <w:p>
            <w:pPr>
              <w:spacing w:after="0"/>
            </w:pPr>
            <w:r>
              <w:rPr>
                <w:sz w:val="18"/>
              </w:rPr>
              <w:t>Internal</w:t>
            </w:r>
          </w:p>
        </w:tc>
        <w:tc>
          <w:tcPr>
            <w:tcW w:type="dxa" w:w="2880"/>
            <w:tcMar>
              <w:top w:w="60" w:type="dxa"/>
              <w:start w:w="70" w:type="dxa"/>
              <w:bottom w:w="60" w:type="dxa"/>
              <w:end w:w="70" w:type="dxa"/>
            </w:tcMar>
            <w:vAlign w:val="center"/>
          </w:tcPr>
          <w:p>
            <w:pPr>
              <w:spacing w:after="0"/>
            </w:pPr>
            <w:r>
              <w:rPr>
                <w:sz w:val="18"/>
              </w:rPr>
              <w:t>Faculty capacity and qualifications</w:t>
            </w:r>
          </w:p>
        </w:tc>
        <w:tc>
          <w:tcPr>
            <w:tcW w:type="dxa" w:w="5616"/>
            <w:tcMar>
              <w:top w:w="60" w:type="dxa"/>
              <w:start w:w="70" w:type="dxa"/>
              <w:bottom w:w="60" w:type="dxa"/>
              <w:end w:w="70" w:type="dxa"/>
            </w:tcMar>
            <w:vAlign w:val="center"/>
          </w:tcPr>
          <w:p>
            <w:pPr>
              <w:spacing w:after="0"/>
            </w:pPr>
            <w:r>
              <w:rPr>
                <w:sz w:val="18"/>
              </w:rPr>
              <w:t>Course coverage, workload, annual evaluations, vacancies, adjunct use, professional development</w:t>
            </w:r>
          </w:p>
        </w:tc>
      </w:tr>
      <w:tr>
        <w:trPr>
          <w:cantSplit/>
        </w:trPr>
        <w:tc>
          <w:tcPr>
            <w:tcW w:type="dxa" w:w="1296"/>
            <w:tcMar>
              <w:top w:w="60" w:type="dxa"/>
              <w:start w:w="70" w:type="dxa"/>
              <w:bottom w:w="60" w:type="dxa"/>
              <w:end w:w="70" w:type="dxa"/>
            </w:tcMar>
            <w:vAlign w:val="center"/>
          </w:tcPr>
          <w:p>
            <w:pPr>
              <w:spacing w:after="0"/>
            </w:pPr>
            <w:r>
              <w:rPr>
                <w:sz w:val="18"/>
              </w:rPr>
              <w:t>Internal</w:t>
            </w:r>
          </w:p>
        </w:tc>
        <w:tc>
          <w:tcPr>
            <w:tcW w:type="dxa" w:w="2880"/>
            <w:tcMar>
              <w:top w:w="60" w:type="dxa"/>
              <w:start w:w="70" w:type="dxa"/>
              <w:bottom w:w="60" w:type="dxa"/>
              <w:end w:w="70" w:type="dxa"/>
            </w:tcMar>
            <w:vAlign w:val="center"/>
          </w:tcPr>
          <w:p>
            <w:pPr>
              <w:spacing w:after="0"/>
            </w:pPr>
            <w:r>
              <w:rPr>
                <w:sz w:val="18"/>
              </w:rPr>
              <w:t>Students and curriculum delivery</w:t>
            </w:r>
          </w:p>
        </w:tc>
        <w:tc>
          <w:tcPr>
            <w:tcW w:type="dxa" w:w="5616"/>
            <w:tcMar>
              <w:top w:w="60" w:type="dxa"/>
              <w:start w:w="70" w:type="dxa"/>
              <w:bottom w:w="60" w:type="dxa"/>
              <w:end w:w="70" w:type="dxa"/>
            </w:tcMar>
            <w:vAlign w:val="center"/>
          </w:tcPr>
          <w:p>
            <w:pPr>
              <w:spacing w:after="0"/>
            </w:pPr>
            <w:r>
              <w:rPr>
                <w:sz w:val="18"/>
              </w:rPr>
              <w:t>Enrollment, retention, graduation, sequencing, SLO results, advising, student feedback</w:t>
            </w:r>
          </w:p>
        </w:tc>
      </w:tr>
      <w:tr>
        <w:trPr>
          <w:cantSplit/>
        </w:trPr>
        <w:tc>
          <w:tcPr>
            <w:tcW w:type="dxa" w:w="1296"/>
            <w:tcMar>
              <w:top w:w="60" w:type="dxa"/>
              <w:start w:w="70" w:type="dxa"/>
              <w:bottom w:w="60" w:type="dxa"/>
              <w:end w:w="70" w:type="dxa"/>
            </w:tcMar>
            <w:vAlign w:val="center"/>
          </w:tcPr>
          <w:p>
            <w:pPr>
              <w:spacing w:after="0"/>
            </w:pPr>
            <w:r>
              <w:rPr>
                <w:sz w:val="18"/>
              </w:rPr>
              <w:t>Internal</w:t>
            </w:r>
          </w:p>
        </w:tc>
        <w:tc>
          <w:tcPr>
            <w:tcW w:type="dxa" w:w="2880"/>
            <w:tcMar>
              <w:top w:w="60" w:type="dxa"/>
              <w:start w:w="70" w:type="dxa"/>
              <w:bottom w:w="60" w:type="dxa"/>
              <w:end w:w="70" w:type="dxa"/>
            </w:tcMar>
            <w:vAlign w:val="center"/>
          </w:tcPr>
          <w:p>
            <w:pPr>
              <w:spacing w:after="0"/>
            </w:pPr>
            <w:r>
              <w:rPr>
                <w:sz w:val="18"/>
              </w:rPr>
              <w:t>Facilities, technology and finance</w:t>
            </w:r>
          </w:p>
        </w:tc>
        <w:tc>
          <w:tcPr>
            <w:tcW w:type="dxa" w:w="5616"/>
            <w:tcMar>
              <w:top w:w="60" w:type="dxa"/>
              <w:start w:w="70" w:type="dxa"/>
              <w:bottom w:w="60" w:type="dxa"/>
              <w:end w:w="70" w:type="dxa"/>
            </w:tcMar>
            <w:vAlign w:val="center"/>
          </w:tcPr>
          <w:p>
            <w:pPr>
              <w:spacing w:after="0"/>
            </w:pPr>
            <w:r>
              <w:rPr>
                <w:sz w:val="18"/>
              </w:rPr>
              <w:t>Practice laboratory, classrooms, computers/software, budget, safety and accessibility</w:t>
            </w:r>
          </w:p>
        </w:tc>
      </w:tr>
      <w:tr>
        <w:trPr>
          <w:cantSplit/>
        </w:trPr>
        <w:tc>
          <w:tcPr>
            <w:tcW w:type="dxa" w:w="1296"/>
            <w:tcMar>
              <w:top w:w="60" w:type="dxa"/>
              <w:start w:w="70" w:type="dxa"/>
              <w:bottom w:w="60" w:type="dxa"/>
              <w:end w:w="70" w:type="dxa"/>
            </w:tcMar>
            <w:vAlign w:val="center"/>
          </w:tcPr>
          <w:p>
            <w:pPr>
              <w:spacing w:after="0"/>
            </w:pPr>
            <w:r>
              <w:rPr>
                <w:sz w:val="18"/>
              </w:rPr>
              <w:t>External</w:t>
            </w:r>
          </w:p>
        </w:tc>
        <w:tc>
          <w:tcPr>
            <w:tcW w:type="dxa" w:w="2880"/>
            <w:tcMar>
              <w:top w:w="60" w:type="dxa"/>
              <w:start w:w="70" w:type="dxa"/>
              <w:bottom w:w="60" w:type="dxa"/>
              <w:end w:w="70" w:type="dxa"/>
            </w:tcMar>
            <w:vAlign w:val="center"/>
          </w:tcPr>
          <w:p>
            <w:pPr>
              <w:spacing w:after="0"/>
            </w:pPr>
            <w:r>
              <w:rPr>
                <w:sz w:val="18"/>
              </w:rPr>
              <w:t>Industry practice and workforce demand</w:t>
            </w:r>
          </w:p>
        </w:tc>
        <w:tc>
          <w:tcPr>
            <w:tcW w:type="dxa" w:w="5616"/>
            <w:tcMar>
              <w:top w:w="60" w:type="dxa"/>
              <w:start w:w="70" w:type="dxa"/>
              <w:bottom w:w="60" w:type="dxa"/>
              <w:end w:w="70" w:type="dxa"/>
            </w:tcMar>
            <w:vAlign w:val="center"/>
          </w:tcPr>
          <w:p>
            <w:pPr>
              <w:spacing w:after="0"/>
            </w:pPr>
            <w:r>
              <w:rPr>
                <w:sz w:val="18"/>
              </w:rPr>
              <w:t>IAC recommendations, employer/graduate input, recruiting and placement data, construction technology</w:t>
            </w:r>
          </w:p>
        </w:tc>
      </w:tr>
      <w:tr>
        <w:trPr>
          <w:cantSplit/>
        </w:trPr>
        <w:tc>
          <w:tcPr>
            <w:tcW w:type="dxa" w:w="1296"/>
            <w:tcMar>
              <w:top w:w="60" w:type="dxa"/>
              <w:start w:w="70" w:type="dxa"/>
              <w:bottom w:w="60" w:type="dxa"/>
              <w:end w:w="70" w:type="dxa"/>
            </w:tcMar>
            <w:vAlign w:val="center"/>
          </w:tcPr>
          <w:p>
            <w:pPr>
              <w:spacing w:after="0"/>
            </w:pPr>
            <w:r>
              <w:rPr>
                <w:sz w:val="18"/>
              </w:rPr>
              <w:t>External</w:t>
            </w:r>
          </w:p>
        </w:tc>
        <w:tc>
          <w:tcPr>
            <w:tcW w:type="dxa" w:w="2880"/>
            <w:tcMar>
              <w:top w:w="60" w:type="dxa"/>
              <w:start w:w="70" w:type="dxa"/>
              <w:bottom w:w="60" w:type="dxa"/>
              <w:end w:w="70" w:type="dxa"/>
            </w:tcMar>
            <w:vAlign w:val="center"/>
          </w:tcPr>
          <w:p>
            <w:pPr>
              <w:spacing w:after="0"/>
            </w:pPr>
            <w:r>
              <w:rPr>
                <w:sz w:val="18"/>
              </w:rPr>
              <w:t>Regulation and accreditation</w:t>
            </w:r>
          </w:p>
        </w:tc>
        <w:tc>
          <w:tcPr>
            <w:tcW w:type="dxa" w:w="5616"/>
            <w:tcMar>
              <w:top w:w="60" w:type="dxa"/>
              <w:start w:w="70" w:type="dxa"/>
              <w:bottom w:w="60" w:type="dxa"/>
              <w:end w:w="70" w:type="dxa"/>
            </w:tcMar>
            <w:vAlign w:val="center"/>
          </w:tcPr>
          <w:p>
            <w:pPr>
              <w:spacing w:after="0"/>
            </w:pPr>
            <w:r>
              <w:rPr>
                <w:sz w:val="18"/>
              </w:rPr>
              <w:t>ACCE requirements, institutional policies, professional credentials, safety and construction regulation</w:t>
            </w:r>
          </w:p>
        </w:tc>
      </w:tr>
    </w:tbl>
    <w:p>
      <w:pPr>
        <w:pStyle w:val="Heading1"/>
      </w:pPr>
      <w:r>
        <w:t>3. Degree Program Assessment Implementation Plan</w:t>
      </w:r>
    </w:p>
    <w:p>
      <w:r>
        <w:t>The program assesses both learning and program effectiveness. SLO assessment demonstrates what students can do at graduation; DPO assessment demonstrates whether the program provides the people, curriculum, resources, and external engagement needed to sustain those results.</w:t>
      </w:r>
    </w:p>
    <w:p>
      <w:pPr>
        <w:pStyle w:val="Heading2"/>
      </w:pPr>
      <w:r>
        <w:t>3.1 Degree Program Objectives</w:t>
      </w:r>
    </w:p>
    <w:tbl>
      <w:tblPr>
        <w:tblW w:type="auto" w:w="0"/>
        <w:jc w:val="center"/>
        <w:tblLayout w:type="fixed"/>
        <w:tblLook w:firstColumn="1" w:firstRow="1" w:lastColumn="0" w:lastRow="0" w:noHBand="0" w:noVBand="1" w:val="04A0"/>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blGrid>
        <w:gridCol w:w="2016"/>
        <w:gridCol w:w="2016"/>
        <w:gridCol w:w="2016"/>
        <w:gridCol w:w="2016"/>
        <w:gridCol w:w="2016"/>
      </w:tblGrid>
      <w:tr>
        <w:trPr>
          <w:tblHeader w:val="true"/>
          <w:cantSplit/>
        </w:trPr>
        <w:tc>
          <w:tcPr>
            <w:tcW w:type="dxa" w:w="691"/>
            <w:shd w:fill="1F4E79"/>
            <w:tcMar>
              <w:top w:w="60" w:type="dxa"/>
              <w:start w:w="70" w:type="dxa"/>
              <w:bottom w:w="60" w:type="dxa"/>
              <w:end w:w="70" w:type="dxa"/>
            </w:tcMar>
            <w:vAlign w:val="center"/>
          </w:tcPr>
          <w:p>
            <w:pPr>
              <w:spacing w:after="0"/>
            </w:pPr>
            <w:r>
              <w:rPr>
                <w:b/>
                <w:color w:val="FFFFFF"/>
                <w:sz w:val="18"/>
              </w:rPr>
              <w:t>ID</w:t>
            </w:r>
          </w:p>
        </w:tc>
        <w:tc>
          <w:tcPr>
            <w:tcW w:type="dxa" w:w="2592"/>
            <w:shd w:fill="1F4E79"/>
            <w:tcMar>
              <w:top w:w="60" w:type="dxa"/>
              <w:start w:w="70" w:type="dxa"/>
              <w:bottom w:w="60" w:type="dxa"/>
              <w:end w:w="70" w:type="dxa"/>
            </w:tcMar>
            <w:vAlign w:val="center"/>
          </w:tcPr>
          <w:p>
            <w:pPr>
              <w:spacing w:after="0"/>
            </w:pPr>
            <w:r>
              <w:rPr>
                <w:b/>
                <w:color w:val="FFFFFF"/>
                <w:sz w:val="18"/>
              </w:rPr>
              <w:t>Objective</w:t>
            </w:r>
          </w:p>
        </w:tc>
        <w:tc>
          <w:tcPr>
            <w:tcW w:type="dxa" w:w="1944"/>
            <w:shd w:fill="1F4E79"/>
            <w:tcMar>
              <w:top w:w="60" w:type="dxa"/>
              <w:start w:w="70" w:type="dxa"/>
              <w:bottom w:w="60" w:type="dxa"/>
              <w:end w:w="70" w:type="dxa"/>
            </w:tcMar>
            <w:vAlign w:val="center"/>
          </w:tcPr>
          <w:p>
            <w:pPr>
              <w:spacing w:after="0"/>
            </w:pPr>
            <w:r>
              <w:rPr>
                <w:b/>
                <w:color w:val="FFFFFF"/>
                <w:sz w:val="18"/>
              </w:rPr>
              <w:t>Direct evidence</w:t>
            </w:r>
          </w:p>
        </w:tc>
        <w:tc>
          <w:tcPr>
            <w:tcW w:type="dxa" w:w="3672"/>
            <w:shd w:fill="1F4E79"/>
            <w:tcMar>
              <w:top w:w="60" w:type="dxa"/>
              <w:start w:w="70" w:type="dxa"/>
              <w:bottom w:w="60" w:type="dxa"/>
              <w:end w:w="70" w:type="dxa"/>
            </w:tcMar>
            <w:vAlign w:val="center"/>
          </w:tcPr>
          <w:p>
            <w:pPr>
              <w:spacing w:after="0"/>
            </w:pPr>
            <w:r>
              <w:rPr>
                <w:b/>
                <w:color w:val="FFFFFF"/>
                <w:sz w:val="18"/>
              </w:rPr>
              <w:t>Performance criterion</w:t>
            </w:r>
          </w:p>
        </w:tc>
        <w:tc>
          <w:tcPr>
            <w:tcW w:type="dxa" w:w="1224"/>
            <w:shd w:fill="1F4E79"/>
            <w:tcMar>
              <w:top w:w="60" w:type="dxa"/>
              <w:start w:w="70" w:type="dxa"/>
              <w:bottom w:w="60" w:type="dxa"/>
              <w:end w:w="70" w:type="dxa"/>
            </w:tcMar>
            <w:vAlign w:val="center"/>
          </w:tcPr>
          <w:p>
            <w:pPr>
              <w:spacing w:after="0"/>
            </w:pPr>
            <w:r>
              <w:rPr>
                <w:b/>
                <w:color w:val="FFFFFF"/>
                <w:sz w:val="18"/>
              </w:rPr>
              <w:t>Owner</w:t>
            </w:r>
          </w:p>
        </w:tc>
      </w:tr>
      <w:tr>
        <w:trPr>
          <w:cantSplit/>
        </w:trPr>
        <w:tc>
          <w:tcPr>
            <w:tcW w:type="dxa" w:w="691"/>
            <w:tcMar>
              <w:top w:w="60" w:type="dxa"/>
              <w:start w:w="70" w:type="dxa"/>
              <w:bottom w:w="60" w:type="dxa"/>
              <w:end w:w="70" w:type="dxa"/>
            </w:tcMar>
            <w:vAlign w:val="center"/>
          </w:tcPr>
          <w:p>
            <w:pPr>
              <w:spacing w:after="0"/>
            </w:pPr>
            <w:r>
              <w:rPr>
                <w:sz w:val="18"/>
              </w:rPr>
              <w:t>DPO 1</w:t>
            </w:r>
          </w:p>
        </w:tc>
        <w:tc>
          <w:tcPr>
            <w:tcW w:type="dxa" w:w="2592"/>
            <w:tcMar>
              <w:top w:w="60" w:type="dxa"/>
              <w:start w:w="70" w:type="dxa"/>
              <w:bottom w:w="60" w:type="dxa"/>
              <w:end w:w="70" w:type="dxa"/>
            </w:tcMar>
            <w:vAlign w:val="center"/>
          </w:tcPr>
          <w:p>
            <w:pPr>
              <w:spacing w:after="0"/>
            </w:pPr>
            <w:r>
              <w:rPr>
                <w:sz w:val="18"/>
              </w:rPr>
              <w:t>Recruit, develop, and retain qualified faculty and staff sufficient to deliver the Construction Management curriculum.</w:t>
            </w:r>
          </w:p>
        </w:tc>
        <w:tc>
          <w:tcPr>
            <w:tcW w:type="dxa" w:w="1944"/>
            <w:tcMar>
              <w:top w:w="60" w:type="dxa"/>
              <w:start w:w="70" w:type="dxa"/>
              <w:bottom w:w="60" w:type="dxa"/>
              <w:end w:w="70" w:type="dxa"/>
            </w:tcMar>
            <w:vAlign w:val="center"/>
          </w:tcPr>
          <w:p>
            <w:pPr>
              <w:spacing w:after="0"/>
            </w:pPr>
            <w:r>
              <w:rPr>
                <w:sz w:val="18"/>
              </w:rPr>
              <w:t>Qualified-faculty course coverage and completed annual evaluations</w:t>
            </w:r>
          </w:p>
        </w:tc>
        <w:tc>
          <w:tcPr>
            <w:tcW w:type="dxa" w:w="3672"/>
            <w:tcMar>
              <w:top w:w="60" w:type="dxa"/>
              <w:start w:w="70" w:type="dxa"/>
              <w:bottom w:w="60" w:type="dxa"/>
              <w:end w:w="70" w:type="dxa"/>
            </w:tcMar>
            <w:vAlign w:val="center"/>
          </w:tcPr>
          <w:p>
            <w:pPr>
              <w:spacing w:after="0"/>
            </w:pPr>
            <w:r>
              <w:rPr>
                <w:sz w:val="18"/>
              </w:rPr>
              <w:t>100% of construction courses assigned to institutionally qualified faculty; annual evaluation completed for every full-time faculty member.</w:t>
            </w:r>
          </w:p>
        </w:tc>
        <w:tc>
          <w:tcPr>
            <w:tcW w:type="dxa" w:w="1224"/>
            <w:tcMar>
              <w:top w:w="60" w:type="dxa"/>
              <w:start w:w="70" w:type="dxa"/>
              <w:bottom w:w="60" w:type="dxa"/>
              <w:end w:w="70" w:type="dxa"/>
            </w:tcMar>
            <w:vAlign w:val="center"/>
          </w:tcPr>
          <w:p>
            <w:pPr>
              <w:spacing w:after="0"/>
            </w:pPr>
            <w:r>
              <w:rPr>
                <w:sz w:val="18"/>
              </w:rPr>
              <w:t>Director / Dean</w:t>
            </w:r>
          </w:p>
        </w:tc>
      </w:tr>
      <w:tr>
        <w:trPr>
          <w:cantSplit/>
        </w:trPr>
        <w:tc>
          <w:tcPr>
            <w:tcW w:type="dxa" w:w="691"/>
            <w:tcMar>
              <w:top w:w="60" w:type="dxa"/>
              <w:start w:w="70" w:type="dxa"/>
              <w:bottom w:w="60" w:type="dxa"/>
              <w:end w:w="70" w:type="dxa"/>
            </w:tcMar>
            <w:vAlign w:val="center"/>
          </w:tcPr>
          <w:p>
            <w:pPr>
              <w:spacing w:after="0"/>
            </w:pPr>
            <w:r>
              <w:rPr>
                <w:sz w:val="18"/>
              </w:rPr>
              <w:t>DPO 2</w:t>
            </w:r>
          </w:p>
        </w:tc>
        <w:tc>
          <w:tcPr>
            <w:tcW w:type="dxa" w:w="2592"/>
            <w:tcMar>
              <w:top w:w="60" w:type="dxa"/>
              <w:start w:w="70" w:type="dxa"/>
              <w:bottom w:w="60" w:type="dxa"/>
              <w:end w:w="70" w:type="dxa"/>
            </w:tcMar>
            <w:vAlign w:val="center"/>
          </w:tcPr>
          <w:p>
            <w:pPr>
              <w:spacing w:after="0"/>
            </w:pPr>
            <w:r>
              <w:rPr>
                <w:sz w:val="18"/>
              </w:rPr>
              <w:t>Recruit, retain, and graduate students who are prepared for productive careers in construction.</w:t>
            </w:r>
          </w:p>
        </w:tc>
        <w:tc>
          <w:tcPr>
            <w:tcW w:type="dxa" w:w="1944"/>
            <w:tcMar>
              <w:top w:w="60" w:type="dxa"/>
              <w:start w:w="70" w:type="dxa"/>
              <w:bottom w:w="60" w:type="dxa"/>
              <w:end w:w="70" w:type="dxa"/>
            </w:tcMar>
            <w:vAlign w:val="center"/>
          </w:tcPr>
          <w:p>
            <w:pPr>
              <w:spacing w:after="0"/>
            </w:pPr>
            <w:r>
              <w:rPr>
                <w:sz w:val="18"/>
              </w:rPr>
              <w:t>Official census, retention, and completion records</w:t>
            </w:r>
          </w:p>
        </w:tc>
        <w:tc>
          <w:tcPr>
            <w:tcW w:type="dxa" w:w="3672"/>
            <w:tcMar>
              <w:top w:w="60" w:type="dxa"/>
              <w:start w:w="70" w:type="dxa"/>
              <w:bottom w:w="60" w:type="dxa"/>
              <w:end w:w="70" w:type="dxa"/>
            </w:tcMar>
            <w:vAlign w:val="center"/>
          </w:tcPr>
          <w:p>
            <w:pPr>
              <w:spacing w:after="0"/>
            </w:pPr>
            <w:r>
              <w:rPr>
                <w:sz w:val="18"/>
              </w:rPr>
              <w:t>Progress toward approved Strategic Plan targets, including 160 students and 33 annual graduates by 2028; retention is reviewed annually.</w:t>
            </w:r>
          </w:p>
        </w:tc>
        <w:tc>
          <w:tcPr>
            <w:tcW w:type="dxa" w:w="1224"/>
            <w:tcMar>
              <w:top w:w="60" w:type="dxa"/>
              <w:start w:w="70" w:type="dxa"/>
              <w:bottom w:w="60" w:type="dxa"/>
              <w:end w:w="70" w:type="dxa"/>
            </w:tcMar>
            <w:vAlign w:val="center"/>
          </w:tcPr>
          <w:p>
            <w:pPr>
              <w:spacing w:after="0"/>
            </w:pPr>
            <w:r>
              <w:rPr>
                <w:sz w:val="18"/>
              </w:rPr>
              <w:t>Director / Faculty</w:t>
            </w:r>
          </w:p>
        </w:tc>
      </w:tr>
      <w:tr>
        <w:trPr>
          <w:cantSplit/>
        </w:trPr>
        <w:tc>
          <w:tcPr>
            <w:tcW w:type="dxa" w:w="691"/>
            <w:tcMar>
              <w:top w:w="60" w:type="dxa"/>
              <w:start w:w="70" w:type="dxa"/>
              <w:bottom w:w="60" w:type="dxa"/>
              <w:end w:w="70" w:type="dxa"/>
            </w:tcMar>
            <w:vAlign w:val="center"/>
          </w:tcPr>
          <w:p>
            <w:pPr>
              <w:spacing w:after="0"/>
            </w:pPr>
            <w:r>
              <w:rPr>
                <w:sz w:val="18"/>
              </w:rPr>
              <w:t>DPO 3</w:t>
            </w:r>
          </w:p>
        </w:tc>
        <w:tc>
          <w:tcPr>
            <w:tcW w:type="dxa" w:w="2592"/>
            <w:tcMar>
              <w:top w:w="60" w:type="dxa"/>
              <w:start w:w="70" w:type="dxa"/>
              <w:bottom w:w="60" w:type="dxa"/>
              <w:end w:w="70" w:type="dxa"/>
            </w:tcMar>
            <w:vAlign w:val="center"/>
          </w:tcPr>
          <w:p>
            <w:pPr>
              <w:spacing w:after="0"/>
            </w:pPr>
            <w:r>
              <w:rPr>
                <w:sz w:val="18"/>
              </w:rPr>
              <w:t>Deliver a current, high-quality, ACCE-aligned curriculum and complete a documented cycle of assessment and improvement.</w:t>
            </w:r>
          </w:p>
        </w:tc>
        <w:tc>
          <w:tcPr>
            <w:tcW w:type="dxa" w:w="1944"/>
            <w:tcMar>
              <w:top w:w="60" w:type="dxa"/>
              <w:start w:w="70" w:type="dxa"/>
              <w:bottom w:w="60" w:type="dxa"/>
              <w:end w:w="70" w:type="dxa"/>
            </w:tcMar>
            <w:vAlign w:val="center"/>
          </w:tcPr>
          <w:p>
            <w:pPr>
              <w:spacing w:after="0"/>
            </w:pPr>
            <w:r>
              <w:rPr>
                <w:sz w:val="18"/>
              </w:rPr>
              <w:t>Curriculum map, completed SLO packages, summary reports, and action log</w:t>
            </w:r>
          </w:p>
        </w:tc>
        <w:tc>
          <w:tcPr>
            <w:tcW w:type="dxa" w:w="3672"/>
            <w:tcMar>
              <w:top w:w="60" w:type="dxa"/>
              <w:start w:w="70" w:type="dxa"/>
              <w:bottom w:w="60" w:type="dxa"/>
              <w:end w:w="70" w:type="dxa"/>
            </w:tcMar>
            <w:vAlign w:val="center"/>
          </w:tcPr>
          <w:p>
            <w:pPr>
              <w:spacing w:after="0"/>
            </w:pPr>
            <w:r>
              <w:rPr>
                <w:sz w:val="18"/>
              </w:rPr>
              <w:t>All 17 SLOs use at least two direct measures, and every SLO receives a documented corrective or maintenance disposition.</w:t>
            </w:r>
          </w:p>
        </w:tc>
        <w:tc>
          <w:tcPr>
            <w:tcW w:type="dxa" w:w="1224"/>
            <w:tcMar>
              <w:top w:w="60" w:type="dxa"/>
              <w:start w:w="70" w:type="dxa"/>
              <w:bottom w:w="60" w:type="dxa"/>
              <w:end w:w="70" w:type="dxa"/>
            </w:tcMar>
            <w:vAlign w:val="center"/>
          </w:tcPr>
          <w:p>
            <w:pPr>
              <w:spacing w:after="0"/>
            </w:pPr>
            <w:r>
              <w:rPr>
                <w:sz w:val="18"/>
              </w:rPr>
              <w:t>Director / Faculty</w:t>
            </w:r>
          </w:p>
        </w:tc>
      </w:tr>
      <w:tr>
        <w:trPr>
          <w:cantSplit/>
        </w:trPr>
        <w:tc>
          <w:tcPr>
            <w:tcW w:type="dxa" w:w="691"/>
            <w:tcMar>
              <w:top w:w="60" w:type="dxa"/>
              <w:start w:w="70" w:type="dxa"/>
              <w:bottom w:w="60" w:type="dxa"/>
              <w:end w:w="70" w:type="dxa"/>
            </w:tcMar>
            <w:vAlign w:val="center"/>
          </w:tcPr>
          <w:p>
            <w:pPr>
              <w:spacing w:after="0"/>
            </w:pPr>
            <w:r>
              <w:rPr>
                <w:sz w:val="18"/>
              </w:rPr>
              <w:t>DPO 4</w:t>
            </w:r>
          </w:p>
        </w:tc>
        <w:tc>
          <w:tcPr>
            <w:tcW w:type="dxa" w:w="2592"/>
            <w:tcMar>
              <w:top w:w="60" w:type="dxa"/>
              <w:start w:w="70" w:type="dxa"/>
              <w:bottom w:w="60" w:type="dxa"/>
              <w:end w:w="70" w:type="dxa"/>
            </w:tcMar>
            <w:vAlign w:val="center"/>
          </w:tcPr>
          <w:p>
            <w:pPr>
              <w:spacing w:after="0"/>
            </w:pPr>
            <w:r>
              <w:rPr>
                <w:sz w:val="18"/>
              </w:rPr>
              <w:t>Maintain facilities, technology, financial support, and industry partnerships appropriate to enrollment and curriculum needs.</w:t>
            </w:r>
          </w:p>
        </w:tc>
        <w:tc>
          <w:tcPr>
            <w:tcW w:type="dxa" w:w="1944"/>
            <w:tcMar>
              <w:top w:w="60" w:type="dxa"/>
              <w:start w:w="70" w:type="dxa"/>
              <w:bottom w:w="60" w:type="dxa"/>
              <w:end w:w="70" w:type="dxa"/>
            </w:tcMar>
            <w:vAlign w:val="center"/>
          </w:tcPr>
          <w:p>
            <w:pPr>
              <w:spacing w:after="0"/>
            </w:pPr>
            <w:r>
              <w:rPr>
                <w:sz w:val="18"/>
              </w:rPr>
              <w:t>Annual resource inventory and approved-action completion log</w:t>
            </w:r>
          </w:p>
        </w:tc>
        <w:tc>
          <w:tcPr>
            <w:tcW w:type="dxa" w:w="3672"/>
            <w:tcMar>
              <w:top w:w="60" w:type="dxa"/>
              <w:start w:w="70" w:type="dxa"/>
              <w:bottom w:w="60" w:type="dxa"/>
              <w:end w:w="70" w:type="dxa"/>
            </w:tcMar>
            <w:vAlign w:val="center"/>
          </w:tcPr>
          <w:p>
            <w:pPr>
              <w:spacing w:after="0"/>
            </w:pPr>
            <w:r>
              <w:rPr>
                <w:sz w:val="18"/>
              </w:rPr>
              <w:t>Every approved high-priority resource action has an owner, target date, and documented completion or governing-body disposition.</w:t>
            </w:r>
          </w:p>
        </w:tc>
        <w:tc>
          <w:tcPr>
            <w:tcW w:type="dxa" w:w="1224"/>
            <w:tcMar>
              <w:top w:w="60" w:type="dxa"/>
              <w:start w:w="70" w:type="dxa"/>
              <w:bottom w:w="60" w:type="dxa"/>
              <w:end w:w="70" w:type="dxa"/>
            </w:tcMar>
            <w:vAlign w:val="center"/>
          </w:tcPr>
          <w:p>
            <w:pPr>
              <w:spacing w:after="0"/>
            </w:pPr>
            <w:r>
              <w:rPr>
                <w:sz w:val="18"/>
              </w:rPr>
              <w:t>Director / IAC Committees</w:t>
            </w:r>
          </w:p>
        </w:tc>
      </w:tr>
      <w:tr>
        <w:trPr>
          <w:cantSplit/>
        </w:trPr>
        <w:tc>
          <w:tcPr>
            <w:tcW w:type="dxa" w:w="691"/>
            <w:tcMar>
              <w:top w:w="60" w:type="dxa"/>
              <w:start w:w="70" w:type="dxa"/>
              <w:bottom w:w="60" w:type="dxa"/>
              <w:end w:w="70" w:type="dxa"/>
            </w:tcMar>
            <w:vAlign w:val="center"/>
          </w:tcPr>
          <w:p>
            <w:pPr>
              <w:spacing w:after="0"/>
            </w:pPr>
            <w:r>
              <w:rPr>
                <w:sz w:val="18"/>
              </w:rPr>
              <w:t>DPO 5</w:t>
            </w:r>
          </w:p>
        </w:tc>
        <w:tc>
          <w:tcPr>
            <w:tcW w:type="dxa" w:w="2592"/>
            <w:tcMar>
              <w:top w:w="60" w:type="dxa"/>
              <w:start w:w="70" w:type="dxa"/>
              <w:bottom w:w="60" w:type="dxa"/>
              <w:end w:w="70" w:type="dxa"/>
            </w:tcMar>
            <w:vAlign w:val="center"/>
          </w:tcPr>
          <w:p>
            <w:pPr>
              <w:spacing w:after="0"/>
            </w:pPr>
            <w:r>
              <w:rPr>
                <w:sz w:val="18"/>
              </w:rPr>
              <w:t>Provide sustained industry engagement, career-development opportunities, and connections with alumni and employers.</w:t>
            </w:r>
          </w:p>
        </w:tc>
        <w:tc>
          <w:tcPr>
            <w:tcW w:type="dxa" w:w="1944"/>
            <w:tcMar>
              <w:top w:w="60" w:type="dxa"/>
              <w:start w:w="70" w:type="dxa"/>
              <w:bottom w:w="60" w:type="dxa"/>
              <w:end w:w="70" w:type="dxa"/>
            </w:tcMar>
            <w:vAlign w:val="center"/>
          </w:tcPr>
          <w:p>
            <w:pPr>
              <w:spacing w:after="0"/>
            </w:pPr>
            <w:r>
              <w:rPr>
                <w:sz w:val="18"/>
              </w:rPr>
              <w:t>Career fair, internship, employer visit, placement, and alumni-engagement records</w:t>
            </w:r>
          </w:p>
        </w:tc>
        <w:tc>
          <w:tcPr>
            <w:tcW w:type="dxa" w:w="3672"/>
            <w:tcMar>
              <w:top w:w="60" w:type="dxa"/>
              <w:start w:w="70" w:type="dxa"/>
              <w:bottom w:w="60" w:type="dxa"/>
              <w:end w:w="70" w:type="dxa"/>
            </w:tcMar>
            <w:vAlign w:val="center"/>
          </w:tcPr>
          <w:p>
            <w:pPr>
              <w:spacing w:after="0"/>
            </w:pPr>
            <w:r>
              <w:rPr>
                <w:sz w:val="18"/>
              </w:rPr>
              <w:t>At least 90% of job-seeking graduates employed in construction or a related field within six months; engagement participation documented annually.</w:t>
            </w:r>
          </w:p>
        </w:tc>
        <w:tc>
          <w:tcPr>
            <w:tcW w:type="dxa" w:w="1224"/>
            <w:tcMar>
              <w:top w:w="60" w:type="dxa"/>
              <w:start w:w="70" w:type="dxa"/>
              <w:bottom w:w="60" w:type="dxa"/>
              <w:end w:w="70" w:type="dxa"/>
            </w:tcMar>
            <w:vAlign w:val="center"/>
          </w:tcPr>
          <w:p>
            <w:pPr>
              <w:spacing w:after="0"/>
            </w:pPr>
            <w:r>
              <w:rPr>
                <w:sz w:val="18"/>
              </w:rPr>
              <w:t>Director / Career Development / IAC</w:t>
            </w:r>
          </w:p>
        </w:tc>
      </w:tr>
    </w:tbl>
    <w:p>
      <w:pPr>
        <w:pStyle w:val="Heading2"/>
      </w:pPr>
      <w:r>
        <w:t>3.2 Assessment Tools and Criteria</w:t>
      </w:r>
    </w:p>
    <w:tbl>
      <w:tblPr>
        <w:tblW w:type="auto" w:w="0"/>
        <w:jc w:val="center"/>
        <w:tblLayout w:type="fixed"/>
        <w:tblLook w:firstColumn="1" w:firstRow="1" w:lastColumn="0" w:lastRow="0" w:noHBand="0" w:noVBand="1" w:val="04A0"/>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blGrid>
        <w:gridCol w:w="2520"/>
        <w:gridCol w:w="2520"/>
        <w:gridCol w:w="2520"/>
        <w:gridCol w:w="2520"/>
      </w:tblGrid>
      <w:tr>
        <w:trPr>
          <w:tblHeader w:val="true"/>
          <w:cantSplit/>
        </w:trPr>
        <w:tc>
          <w:tcPr>
            <w:tcW w:type="dxa" w:w="3240"/>
            <w:shd w:fill="1F4E79"/>
            <w:tcMar>
              <w:top w:w="60" w:type="dxa"/>
              <w:start w:w="70" w:type="dxa"/>
              <w:bottom w:w="60" w:type="dxa"/>
              <w:end w:w="70" w:type="dxa"/>
            </w:tcMar>
            <w:vAlign w:val="center"/>
          </w:tcPr>
          <w:p>
            <w:pPr>
              <w:spacing w:after="0"/>
            </w:pPr>
            <w:r>
              <w:rPr>
                <w:b/>
                <w:color w:val="FFFFFF"/>
                <w:sz w:val="18"/>
              </w:rPr>
              <w:t>Tool</w:t>
            </w:r>
          </w:p>
        </w:tc>
        <w:tc>
          <w:tcPr>
            <w:tcW w:type="dxa" w:w="1584"/>
            <w:shd w:fill="1F4E79"/>
            <w:tcMar>
              <w:top w:w="60" w:type="dxa"/>
              <w:start w:w="70" w:type="dxa"/>
              <w:bottom w:w="60" w:type="dxa"/>
              <w:end w:w="70" w:type="dxa"/>
            </w:tcMar>
            <w:vAlign w:val="center"/>
          </w:tcPr>
          <w:p>
            <w:pPr>
              <w:spacing w:after="0"/>
            </w:pPr>
            <w:r>
              <w:rPr>
                <w:b/>
                <w:color w:val="FFFFFF"/>
                <w:sz w:val="18"/>
              </w:rPr>
              <w:t>Use</w:t>
            </w:r>
          </w:p>
        </w:tc>
        <w:tc>
          <w:tcPr>
            <w:tcW w:type="dxa" w:w="1944"/>
            <w:shd w:fill="1F4E79"/>
            <w:tcMar>
              <w:top w:w="60" w:type="dxa"/>
              <w:start w:w="70" w:type="dxa"/>
              <w:bottom w:w="60" w:type="dxa"/>
              <w:end w:w="70" w:type="dxa"/>
            </w:tcMar>
            <w:vAlign w:val="center"/>
          </w:tcPr>
          <w:p>
            <w:pPr>
              <w:spacing w:after="0"/>
            </w:pPr>
            <w:r>
              <w:rPr>
                <w:b/>
                <w:color w:val="FFFFFF"/>
                <w:sz w:val="18"/>
              </w:rPr>
              <w:t>Frequency</w:t>
            </w:r>
          </w:p>
        </w:tc>
        <w:tc>
          <w:tcPr>
            <w:tcW w:type="dxa" w:w="3168"/>
            <w:shd w:fill="1F4E79"/>
            <w:tcMar>
              <w:top w:w="60" w:type="dxa"/>
              <w:start w:w="70" w:type="dxa"/>
              <w:bottom w:w="60" w:type="dxa"/>
              <w:end w:w="70" w:type="dxa"/>
            </w:tcMar>
            <w:vAlign w:val="center"/>
          </w:tcPr>
          <w:p>
            <w:pPr>
              <w:spacing w:after="0"/>
            </w:pPr>
            <w:r>
              <w:rPr>
                <w:b/>
                <w:color w:val="FFFFFF"/>
                <w:sz w:val="18"/>
              </w:rPr>
              <w:t>Criterion</w:t>
            </w:r>
          </w:p>
        </w:tc>
      </w:tr>
      <w:tr>
        <w:trPr>
          <w:cantSplit/>
        </w:trPr>
        <w:tc>
          <w:tcPr>
            <w:tcW w:type="dxa" w:w="3240"/>
            <w:tcMar>
              <w:top w:w="60" w:type="dxa"/>
              <w:start w:w="70" w:type="dxa"/>
              <w:bottom w:w="60" w:type="dxa"/>
              <w:end w:w="70" w:type="dxa"/>
            </w:tcMar>
            <w:vAlign w:val="center"/>
          </w:tcPr>
          <w:p>
            <w:pPr>
              <w:spacing w:after="0"/>
            </w:pPr>
            <w:r>
              <w:rPr>
                <w:sz w:val="18"/>
              </w:rPr>
              <w:t>SLO-specific course artifact, examination, or individually scored component</w:t>
            </w:r>
          </w:p>
        </w:tc>
        <w:tc>
          <w:tcPr>
            <w:tcW w:type="dxa" w:w="1584"/>
            <w:tcMar>
              <w:top w:w="60" w:type="dxa"/>
              <w:start w:w="70" w:type="dxa"/>
              <w:bottom w:w="60" w:type="dxa"/>
              <w:end w:w="70" w:type="dxa"/>
            </w:tcMar>
            <w:vAlign w:val="center"/>
          </w:tcPr>
          <w:p>
            <w:pPr>
              <w:spacing w:after="0"/>
            </w:pPr>
            <w:r>
              <w:rPr>
                <w:sz w:val="18"/>
              </w:rPr>
              <w:t>Direct SLO</w:t>
            </w:r>
          </w:p>
        </w:tc>
        <w:tc>
          <w:tcPr>
            <w:tcW w:type="dxa" w:w="1944"/>
            <w:tcMar>
              <w:top w:w="60" w:type="dxa"/>
              <w:start w:w="70" w:type="dxa"/>
              <w:bottom w:w="60" w:type="dxa"/>
              <w:end w:w="70" w:type="dxa"/>
            </w:tcMar>
            <w:vAlign w:val="center"/>
          </w:tcPr>
          <w:p>
            <w:pPr>
              <w:spacing w:after="0"/>
            </w:pPr>
            <w:r>
              <w:rPr>
                <w:sz w:val="18"/>
              </w:rPr>
              <w:t>Each scheduled cycle year</w:t>
            </w:r>
          </w:p>
        </w:tc>
        <w:tc>
          <w:tcPr>
            <w:tcW w:type="dxa" w:w="3168"/>
            <w:tcMar>
              <w:top w:w="60" w:type="dxa"/>
              <w:start w:w="70" w:type="dxa"/>
              <w:bottom w:w="60" w:type="dxa"/>
              <w:end w:w="70" w:type="dxa"/>
            </w:tcMar>
            <w:vAlign w:val="center"/>
          </w:tcPr>
          <w:p>
            <w:pPr>
              <w:spacing w:after="0"/>
            </w:pPr>
            <w:r>
              <w:rPr>
                <w:sz w:val="18"/>
              </w:rPr>
              <w:t>At least 70% of assessed Construction Management students score 70% or higher on the SLO-specific rubric or assessment component.</w:t>
            </w:r>
          </w:p>
        </w:tc>
      </w:tr>
      <w:tr>
        <w:trPr>
          <w:cantSplit/>
        </w:trPr>
        <w:tc>
          <w:tcPr>
            <w:tcW w:type="dxa" w:w="3240"/>
            <w:tcMar>
              <w:top w:w="60" w:type="dxa"/>
              <w:start w:w="70" w:type="dxa"/>
              <w:bottom w:w="60" w:type="dxa"/>
              <w:end w:w="70" w:type="dxa"/>
            </w:tcMar>
            <w:vAlign w:val="center"/>
          </w:tcPr>
          <w:p>
            <w:pPr>
              <w:spacing w:after="0"/>
            </w:pPr>
            <w:r>
              <w:rPr>
                <w:sz w:val="18"/>
              </w:rPr>
              <w:t>Capstone project with individual scoring</w:t>
            </w:r>
          </w:p>
        </w:tc>
        <w:tc>
          <w:tcPr>
            <w:tcW w:type="dxa" w:w="1584"/>
            <w:tcMar>
              <w:top w:w="60" w:type="dxa"/>
              <w:start w:w="70" w:type="dxa"/>
              <w:bottom w:w="60" w:type="dxa"/>
              <w:end w:w="70" w:type="dxa"/>
            </w:tcMar>
            <w:vAlign w:val="center"/>
          </w:tcPr>
          <w:p>
            <w:pPr>
              <w:spacing w:after="0"/>
            </w:pPr>
            <w:r>
              <w:rPr>
                <w:sz w:val="18"/>
              </w:rPr>
              <w:t>Direct SLO</w:t>
            </w:r>
          </w:p>
        </w:tc>
        <w:tc>
          <w:tcPr>
            <w:tcW w:type="dxa" w:w="1944"/>
            <w:tcMar>
              <w:top w:w="60" w:type="dxa"/>
              <w:start w:w="70" w:type="dxa"/>
              <w:bottom w:w="60" w:type="dxa"/>
              <w:end w:w="70" w:type="dxa"/>
            </w:tcMar>
            <w:vAlign w:val="center"/>
          </w:tcPr>
          <w:p>
            <w:pPr>
              <w:spacing w:after="0"/>
            </w:pPr>
            <w:r>
              <w:rPr>
                <w:sz w:val="18"/>
              </w:rPr>
              <w:t>Each offering; reported in assigned cycle</w:t>
            </w:r>
          </w:p>
        </w:tc>
        <w:tc>
          <w:tcPr>
            <w:tcW w:type="dxa" w:w="3168"/>
            <w:tcMar>
              <w:top w:w="60" w:type="dxa"/>
              <w:start w:w="70" w:type="dxa"/>
              <w:bottom w:w="60" w:type="dxa"/>
              <w:end w:w="70" w:type="dxa"/>
            </w:tcMar>
            <w:vAlign w:val="center"/>
          </w:tcPr>
          <w:p>
            <w:pPr>
              <w:spacing w:after="0"/>
            </w:pPr>
            <w:r>
              <w:rPr>
                <w:sz w:val="18"/>
              </w:rPr>
              <w:t>Same 70/70 criterion; retain the individual score used for the SLO.</w:t>
            </w:r>
          </w:p>
        </w:tc>
      </w:tr>
      <w:tr>
        <w:trPr>
          <w:cantSplit/>
        </w:trPr>
        <w:tc>
          <w:tcPr>
            <w:tcW w:type="dxa" w:w="3240"/>
            <w:tcMar>
              <w:top w:w="60" w:type="dxa"/>
              <w:start w:w="70" w:type="dxa"/>
              <w:bottom w:w="60" w:type="dxa"/>
              <w:end w:w="70" w:type="dxa"/>
            </w:tcMar>
            <w:vAlign w:val="center"/>
          </w:tcPr>
          <w:p>
            <w:pPr>
              <w:spacing w:after="0"/>
            </w:pPr>
            <w:r>
              <w:rPr>
                <w:sz w:val="18"/>
              </w:rPr>
              <w:t>AIC Associate Constructor examination or other third-party examination</w:t>
            </w:r>
          </w:p>
        </w:tc>
        <w:tc>
          <w:tcPr>
            <w:tcW w:type="dxa" w:w="1584"/>
            <w:tcMar>
              <w:top w:w="60" w:type="dxa"/>
              <w:start w:w="70" w:type="dxa"/>
              <w:bottom w:w="60" w:type="dxa"/>
              <w:end w:w="70" w:type="dxa"/>
            </w:tcMar>
            <w:vAlign w:val="center"/>
          </w:tcPr>
          <w:p>
            <w:pPr>
              <w:spacing w:after="0"/>
            </w:pPr>
            <w:r>
              <w:rPr>
                <w:sz w:val="18"/>
              </w:rPr>
              <w:t>Direct supplemental</w:t>
            </w:r>
          </w:p>
        </w:tc>
        <w:tc>
          <w:tcPr>
            <w:tcW w:type="dxa" w:w="1944"/>
            <w:tcMar>
              <w:top w:w="60" w:type="dxa"/>
              <w:start w:w="70" w:type="dxa"/>
              <w:bottom w:w="60" w:type="dxa"/>
              <w:end w:w="70" w:type="dxa"/>
            </w:tcMar>
            <w:vAlign w:val="center"/>
          </w:tcPr>
          <w:p>
            <w:pPr>
              <w:spacing w:after="0"/>
            </w:pPr>
            <w:r>
              <w:rPr>
                <w:sz w:val="18"/>
              </w:rPr>
              <w:t>Each administration</w:t>
            </w:r>
          </w:p>
        </w:tc>
        <w:tc>
          <w:tcPr>
            <w:tcW w:type="dxa" w:w="3168"/>
            <w:tcMar>
              <w:top w:w="60" w:type="dxa"/>
              <w:start w:w="70" w:type="dxa"/>
              <w:bottom w:w="60" w:type="dxa"/>
              <w:end w:w="70" w:type="dxa"/>
            </w:tcMar>
            <w:vAlign w:val="center"/>
          </w:tcPr>
          <w:p>
            <w:pPr>
              <w:spacing w:after="0"/>
            </w:pPr>
            <w:r>
              <w:rPr>
                <w:sz w:val="18"/>
              </w:rPr>
              <w:t>Apply the current publisher benchmark and retain comprehensive domain results and program interpretation.</w:t>
            </w:r>
          </w:p>
        </w:tc>
      </w:tr>
      <w:tr>
        <w:trPr>
          <w:cantSplit/>
        </w:trPr>
        <w:tc>
          <w:tcPr>
            <w:tcW w:type="dxa" w:w="3240"/>
            <w:tcMar>
              <w:top w:w="60" w:type="dxa"/>
              <w:start w:w="70" w:type="dxa"/>
              <w:bottom w:w="60" w:type="dxa"/>
              <w:end w:w="70" w:type="dxa"/>
            </w:tcMar>
            <w:vAlign w:val="center"/>
          </w:tcPr>
          <w:p>
            <w:pPr>
              <w:spacing w:after="0"/>
            </w:pPr>
            <w:r>
              <w:rPr>
                <w:sz w:val="18"/>
              </w:rPr>
              <w:t>Graduating-student SLO self-assessment / exit interview</w:t>
            </w:r>
          </w:p>
        </w:tc>
        <w:tc>
          <w:tcPr>
            <w:tcW w:type="dxa" w:w="1584"/>
            <w:tcMar>
              <w:top w:w="60" w:type="dxa"/>
              <w:start w:w="70" w:type="dxa"/>
              <w:bottom w:w="60" w:type="dxa"/>
              <w:end w:w="70" w:type="dxa"/>
            </w:tcMar>
            <w:vAlign w:val="center"/>
          </w:tcPr>
          <w:p>
            <w:pPr>
              <w:spacing w:after="0"/>
            </w:pPr>
            <w:r>
              <w:rPr>
                <w:sz w:val="18"/>
              </w:rPr>
              <w:t>Indirect SLO and DPO</w:t>
            </w:r>
          </w:p>
        </w:tc>
        <w:tc>
          <w:tcPr>
            <w:tcW w:type="dxa" w:w="1944"/>
            <w:tcMar>
              <w:top w:w="60" w:type="dxa"/>
              <w:start w:w="70" w:type="dxa"/>
              <w:bottom w:w="60" w:type="dxa"/>
              <w:end w:w="70" w:type="dxa"/>
            </w:tcMar>
            <w:vAlign w:val="center"/>
          </w:tcPr>
          <w:p>
            <w:pPr>
              <w:spacing w:after="0"/>
            </w:pPr>
            <w:r>
              <w:rPr>
                <w:sz w:val="18"/>
              </w:rPr>
              <w:t>Each graduating cohort</w:t>
            </w:r>
          </w:p>
        </w:tc>
        <w:tc>
          <w:tcPr>
            <w:tcW w:type="dxa" w:w="3168"/>
            <w:tcMar>
              <w:top w:w="60" w:type="dxa"/>
              <w:start w:w="70" w:type="dxa"/>
              <w:bottom w:w="60" w:type="dxa"/>
              <w:end w:w="70" w:type="dxa"/>
            </w:tcMar>
            <w:vAlign w:val="center"/>
          </w:tcPr>
          <w:p>
            <w:pPr>
              <w:spacing w:after="0"/>
            </w:pPr>
            <w:r>
              <w:rPr>
                <w:sz w:val="18"/>
              </w:rPr>
              <w:t>At least 80% of respondents select 4 or 5 on the five-point preparedness scale.</w:t>
            </w:r>
          </w:p>
        </w:tc>
      </w:tr>
      <w:tr>
        <w:trPr>
          <w:cantSplit/>
        </w:trPr>
        <w:tc>
          <w:tcPr>
            <w:tcW w:type="dxa" w:w="3240"/>
            <w:tcMar>
              <w:top w:w="60" w:type="dxa"/>
              <w:start w:w="70" w:type="dxa"/>
              <w:bottom w:w="60" w:type="dxa"/>
              <w:end w:w="70" w:type="dxa"/>
            </w:tcMar>
            <w:vAlign w:val="center"/>
          </w:tcPr>
          <w:p>
            <w:pPr>
              <w:spacing w:after="0"/>
            </w:pPr>
            <w:r>
              <w:rPr>
                <w:sz w:val="18"/>
              </w:rPr>
              <w:t>Graduate and employer surveys</w:t>
            </w:r>
          </w:p>
        </w:tc>
        <w:tc>
          <w:tcPr>
            <w:tcW w:type="dxa" w:w="1584"/>
            <w:tcMar>
              <w:top w:w="60" w:type="dxa"/>
              <w:start w:w="70" w:type="dxa"/>
              <w:bottom w:w="60" w:type="dxa"/>
              <w:end w:w="70" w:type="dxa"/>
            </w:tcMar>
            <w:vAlign w:val="center"/>
          </w:tcPr>
          <w:p>
            <w:pPr>
              <w:spacing w:after="0"/>
            </w:pPr>
            <w:r>
              <w:rPr>
                <w:sz w:val="18"/>
              </w:rPr>
              <w:t>Indirect SLO and DPO</w:t>
            </w:r>
          </w:p>
        </w:tc>
        <w:tc>
          <w:tcPr>
            <w:tcW w:type="dxa" w:w="1944"/>
            <w:tcMar>
              <w:top w:w="60" w:type="dxa"/>
              <w:start w:w="70" w:type="dxa"/>
              <w:bottom w:w="60" w:type="dxa"/>
              <w:end w:w="70" w:type="dxa"/>
            </w:tcMar>
            <w:vAlign w:val="center"/>
          </w:tcPr>
          <w:p>
            <w:pPr>
              <w:spacing w:after="0"/>
            </w:pPr>
            <w:r>
              <w:rPr>
                <w:sz w:val="18"/>
              </w:rPr>
              <w:t>At least annually or by defined cohort</w:t>
            </w:r>
          </w:p>
        </w:tc>
        <w:tc>
          <w:tcPr>
            <w:tcW w:type="dxa" w:w="3168"/>
            <w:tcMar>
              <w:top w:w="60" w:type="dxa"/>
              <w:start w:w="70" w:type="dxa"/>
              <w:bottom w:w="60" w:type="dxa"/>
              <w:end w:w="70" w:type="dxa"/>
            </w:tcMar>
            <w:vAlign w:val="center"/>
          </w:tcPr>
          <w:p>
            <w:pPr>
              <w:spacing w:after="0"/>
            </w:pPr>
            <w:r>
              <w:rPr>
                <w:sz w:val="18"/>
              </w:rPr>
              <w:t>At least 80% favorable responses; report the response rate and interpretation.</w:t>
            </w:r>
          </w:p>
        </w:tc>
      </w:tr>
      <w:tr>
        <w:trPr>
          <w:cantSplit/>
        </w:trPr>
        <w:tc>
          <w:tcPr>
            <w:tcW w:type="dxa" w:w="3240"/>
            <w:tcMar>
              <w:top w:w="60" w:type="dxa"/>
              <w:start w:w="70" w:type="dxa"/>
              <w:bottom w:w="60" w:type="dxa"/>
              <w:end w:w="70" w:type="dxa"/>
            </w:tcMar>
            <w:vAlign w:val="center"/>
          </w:tcPr>
          <w:p>
            <w:pPr>
              <w:spacing w:after="0"/>
            </w:pPr>
            <w:r>
              <w:rPr>
                <w:sz w:val="18"/>
              </w:rPr>
              <w:t>Official institutional and program operational records</w:t>
            </w:r>
          </w:p>
        </w:tc>
        <w:tc>
          <w:tcPr>
            <w:tcW w:type="dxa" w:w="1584"/>
            <w:tcMar>
              <w:top w:w="60" w:type="dxa"/>
              <w:start w:w="70" w:type="dxa"/>
              <w:bottom w:w="60" w:type="dxa"/>
              <w:end w:w="70" w:type="dxa"/>
            </w:tcMar>
            <w:vAlign w:val="center"/>
          </w:tcPr>
          <w:p>
            <w:pPr>
              <w:spacing w:after="0"/>
            </w:pPr>
            <w:r>
              <w:rPr>
                <w:sz w:val="18"/>
              </w:rPr>
              <w:t>Direct DPO</w:t>
            </w:r>
          </w:p>
        </w:tc>
        <w:tc>
          <w:tcPr>
            <w:tcW w:type="dxa" w:w="1944"/>
            <w:tcMar>
              <w:top w:w="60" w:type="dxa"/>
              <w:start w:w="70" w:type="dxa"/>
              <w:bottom w:w="60" w:type="dxa"/>
              <w:end w:w="70" w:type="dxa"/>
            </w:tcMar>
            <w:vAlign w:val="center"/>
          </w:tcPr>
          <w:p>
            <w:pPr>
              <w:spacing w:after="0"/>
            </w:pPr>
            <w:r>
              <w:rPr>
                <w:sz w:val="18"/>
              </w:rPr>
              <w:t>Annually</w:t>
            </w:r>
          </w:p>
        </w:tc>
        <w:tc>
          <w:tcPr>
            <w:tcW w:type="dxa" w:w="3168"/>
            <w:tcMar>
              <w:top w:w="60" w:type="dxa"/>
              <w:start w:w="70" w:type="dxa"/>
              <w:bottom w:w="60" w:type="dxa"/>
              <w:end w:w="70" w:type="dxa"/>
            </w:tcMar>
            <w:vAlign w:val="center"/>
          </w:tcPr>
          <w:p>
            <w:pPr>
              <w:spacing w:after="0"/>
            </w:pPr>
            <w:r>
              <w:rPr>
                <w:sz w:val="18"/>
              </w:rPr>
              <w:t>Compare each result with the applicable DPO and Strategic Plan criterion.</w:t>
            </w:r>
          </w:p>
        </w:tc>
      </w:tr>
      <w:tr>
        <w:trPr>
          <w:cantSplit/>
        </w:trPr>
        <w:tc>
          <w:tcPr>
            <w:tcW w:type="dxa" w:w="3240"/>
            <w:tcMar>
              <w:top w:w="60" w:type="dxa"/>
              <w:start w:w="70" w:type="dxa"/>
              <w:bottom w:w="60" w:type="dxa"/>
              <w:end w:w="70" w:type="dxa"/>
            </w:tcMar>
            <w:vAlign w:val="center"/>
          </w:tcPr>
          <w:p>
            <w:pPr>
              <w:spacing w:after="0"/>
            </w:pPr>
            <w:r>
              <w:rPr>
                <w:sz w:val="18"/>
              </w:rPr>
              <w:t>IAC review, recommendations, and motions</w:t>
            </w:r>
          </w:p>
        </w:tc>
        <w:tc>
          <w:tcPr>
            <w:tcW w:type="dxa" w:w="1584"/>
            <w:tcMar>
              <w:top w:w="60" w:type="dxa"/>
              <w:start w:w="70" w:type="dxa"/>
              <w:bottom w:w="60" w:type="dxa"/>
              <w:end w:w="70" w:type="dxa"/>
            </w:tcMar>
            <w:vAlign w:val="center"/>
          </w:tcPr>
          <w:p>
            <w:pPr>
              <w:spacing w:after="0"/>
            </w:pPr>
            <w:r>
              <w:rPr>
                <w:sz w:val="18"/>
              </w:rPr>
              <w:t>Governance / indirect</w:t>
            </w:r>
          </w:p>
        </w:tc>
        <w:tc>
          <w:tcPr>
            <w:tcW w:type="dxa" w:w="1944"/>
            <w:tcMar>
              <w:top w:w="60" w:type="dxa"/>
              <w:start w:w="70" w:type="dxa"/>
              <w:bottom w:w="60" w:type="dxa"/>
              <w:end w:w="70" w:type="dxa"/>
            </w:tcMar>
            <w:vAlign w:val="center"/>
          </w:tcPr>
          <w:p>
            <w:pPr>
              <w:spacing w:after="0"/>
            </w:pPr>
            <w:r>
              <w:rPr>
                <w:sz w:val="18"/>
              </w:rPr>
              <w:t>Each regular IAC meeting</w:t>
            </w:r>
          </w:p>
        </w:tc>
        <w:tc>
          <w:tcPr>
            <w:tcW w:type="dxa" w:w="3168"/>
            <w:tcMar>
              <w:top w:w="60" w:type="dxa"/>
              <w:start w:w="70" w:type="dxa"/>
              <w:bottom w:w="60" w:type="dxa"/>
              <w:end w:w="70" w:type="dxa"/>
            </w:tcMar>
            <w:vAlign w:val="center"/>
          </w:tcPr>
          <w:p>
            <w:pPr>
              <w:spacing w:after="0"/>
            </w:pPr>
            <w:r>
              <w:rPr>
                <w:sz w:val="18"/>
              </w:rPr>
              <w:t>Every recommendation receives a documented disposition, owner, and follow-up date.</w:t>
            </w:r>
          </w:p>
        </w:tc>
      </w:tr>
    </w:tbl>
    <w:p>
      <w:pPr>
        <w:pStyle w:val="Heading2"/>
      </w:pPr>
      <w:r>
        <w:t>3.3 Three-Year Schedule</w:t>
      </w:r>
    </w:p>
    <w:tbl>
      <w:tblPr>
        <w:tblW w:type="auto" w:w="0"/>
        <w:jc w:val="center"/>
        <w:tblLayout w:type="fixed"/>
        <w:tblLook w:firstColumn="1" w:firstRow="1" w:lastColumn="0" w:lastRow="0" w:noHBand="0" w:noVBand="1" w:val="04A0"/>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blGrid>
        <w:gridCol w:w="5040"/>
        <w:gridCol w:w="5040"/>
      </w:tblGrid>
      <w:tr>
        <w:trPr>
          <w:tblHeader w:val="true"/>
          <w:cantSplit/>
        </w:trPr>
        <w:tc>
          <w:tcPr>
            <w:tcW w:type="dxa" w:w="1944"/>
            <w:shd w:fill="1F4E79"/>
            <w:tcMar>
              <w:top w:w="60" w:type="dxa"/>
              <w:start w:w="70" w:type="dxa"/>
              <w:bottom w:w="60" w:type="dxa"/>
              <w:end w:w="70" w:type="dxa"/>
            </w:tcMar>
            <w:vAlign w:val="center"/>
          </w:tcPr>
          <w:p>
            <w:pPr>
              <w:spacing w:after="0"/>
            </w:pPr>
            <w:r>
              <w:rPr>
                <w:b/>
                <w:color w:val="FFFFFF"/>
                <w:sz w:val="18"/>
              </w:rPr>
              <w:t>Timing</w:t>
            </w:r>
          </w:p>
        </w:tc>
        <w:tc>
          <w:tcPr>
            <w:tcW w:type="dxa" w:w="7848"/>
            <w:shd w:fill="1F4E79"/>
            <w:tcMar>
              <w:top w:w="60" w:type="dxa"/>
              <w:start w:w="70" w:type="dxa"/>
              <w:bottom w:w="60" w:type="dxa"/>
              <w:end w:w="70" w:type="dxa"/>
            </w:tcMar>
            <w:vAlign w:val="center"/>
          </w:tcPr>
          <w:p>
            <w:pPr>
              <w:spacing w:after="0"/>
            </w:pPr>
            <w:r>
              <w:rPr>
                <w:b/>
                <w:color w:val="FFFFFF"/>
                <w:sz w:val="18"/>
              </w:rPr>
              <w:t>Required collection and review</w:t>
            </w:r>
          </w:p>
        </w:tc>
      </w:tr>
      <w:tr>
        <w:trPr>
          <w:cantSplit/>
        </w:trPr>
        <w:tc>
          <w:tcPr>
            <w:tcW w:type="dxa" w:w="1944"/>
            <w:tcMar>
              <w:top w:w="60" w:type="dxa"/>
              <w:start w:w="70" w:type="dxa"/>
              <w:bottom w:w="60" w:type="dxa"/>
              <w:end w:w="70" w:type="dxa"/>
            </w:tcMar>
            <w:vAlign w:val="center"/>
          </w:tcPr>
          <w:p>
            <w:pPr>
              <w:spacing w:after="0"/>
            </w:pPr>
            <w:r>
              <w:rPr>
                <w:sz w:val="18"/>
              </w:rPr>
              <w:t>2025-2026</w:t>
            </w:r>
          </w:p>
        </w:tc>
        <w:tc>
          <w:tcPr>
            <w:tcW w:type="dxa" w:w="7848"/>
            <w:tcMar>
              <w:top w:w="60" w:type="dxa"/>
              <w:start w:w="70" w:type="dxa"/>
              <w:bottom w:w="60" w:type="dxa"/>
              <w:end w:w="70" w:type="dxa"/>
            </w:tcMar>
            <w:vAlign w:val="center"/>
          </w:tcPr>
          <w:p>
            <w:pPr>
              <w:spacing w:after="0"/>
            </w:pPr>
            <w:r>
              <w:rPr>
                <w:sz w:val="18"/>
              </w:rPr>
              <w:t>Complete the comprehensive current-cycle assessment of all 17 SLOs and five DPOs; reconcile current and previous results; document actions.</w:t>
            </w:r>
          </w:p>
        </w:tc>
      </w:tr>
      <w:tr>
        <w:trPr>
          <w:cantSplit/>
        </w:trPr>
        <w:tc>
          <w:tcPr>
            <w:tcW w:type="dxa" w:w="1944"/>
            <w:tcMar>
              <w:top w:w="60" w:type="dxa"/>
              <w:start w:w="70" w:type="dxa"/>
              <w:bottom w:w="60" w:type="dxa"/>
              <w:end w:w="70" w:type="dxa"/>
            </w:tcMar>
            <w:vAlign w:val="center"/>
          </w:tcPr>
          <w:p>
            <w:pPr>
              <w:spacing w:after="0"/>
            </w:pPr>
            <w:r>
              <w:rPr>
                <w:sz w:val="18"/>
              </w:rPr>
              <w:t>2026-2027</w:t>
            </w:r>
          </w:p>
        </w:tc>
        <w:tc>
          <w:tcPr>
            <w:tcW w:type="dxa" w:w="7848"/>
            <w:tcMar>
              <w:top w:w="60" w:type="dxa"/>
              <w:start w:w="70" w:type="dxa"/>
              <w:bottom w:w="60" w:type="dxa"/>
              <w:end w:w="70" w:type="dxa"/>
            </w:tcMar>
            <w:vAlign w:val="center"/>
          </w:tcPr>
          <w:p>
            <w:pPr>
              <w:spacing w:after="0"/>
            </w:pPr>
            <w:r>
              <w:rPr>
                <w:sz w:val="18"/>
              </w:rPr>
              <w:t>Implement and reassess corrective actions for SLOs 9, 13, 16, and 17; maintain successful SLO and DPO practices; update all annual DPO records.</w:t>
            </w:r>
          </w:p>
        </w:tc>
      </w:tr>
      <w:tr>
        <w:trPr>
          <w:cantSplit/>
        </w:trPr>
        <w:tc>
          <w:tcPr>
            <w:tcW w:type="dxa" w:w="1944"/>
            <w:tcMar>
              <w:top w:w="60" w:type="dxa"/>
              <w:start w:w="70" w:type="dxa"/>
              <w:bottom w:w="60" w:type="dxa"/>
              <w:end w:w="70" w:type="dxa"/>
            </w:tcMar>
            <w:vAlign w:val="center"/>
          </w:tcPr>
          <w:p>
            <w:pPr>
              <w:spacing w:after="0"/>
            </w:pPr>
            <w:r>
              <w:rPr>
                <w:sz w:val="18"/>
              </w:rPr>
              <w:t>2027-2028</w:t>
            </w:r>
          </w:p>
        </w:tc>
        <w:tc>
          <w:tcPr>
            <w:tcW w:type="dxa" w:w="7848"/>
            <w:tcMar>
              <w:top w:w="60" w:type="dxa"/>
              <w:start w:w="70" w:type="dxa"/>
              <w:bottom w:w="60" w:type="dxa"/>
              <w:end w:w="70" w:type="dxa"/>
            </w:tcMar>
            <w:vAlign w:val="center"/>
          </w:tcPr>
          <w:p>
            <w:pPr>
              <w:spacing w:after="0"/>
            </w:pPr>
            <w:r>
              <w:rPr>
                <w:sz w:val="18"/>
              </w:rPr>
              <w:t>Continue scheduled SLO reassessment, evaluate action effects, update Strategic Plan indicators, and prepare the next complete cycle comparison.</w:t>
            </w:r>
          </w:p>
        </w:tc>
      </w:tr>
      <w:tr>
        <w:trPr>
          <w:cantSplit/>
        </w:trPr>
        <w:tc>
          <w:tcPr>
            <w:tcW w:type="dxa" w:w="1944"/>
            <w:tcMar>
              <w:top w:w="60" w:type="dxa"/>
              <w:start w:w="70" w:type="dxa"/>
              <w:bottom w:w="60" w:type="dxa"/>
              <w:end w:w="70" w:type="dxa"/>
            </w:tcMar>
            <w:vAlign w:val="center"/>
          </w:tcPr>
          <w:p>
            <w:pPr>
              <w:spacing w:after="0"/>
            </w:pPr>
            <w:r>
              <w:rPr>
                <w:sz w:val="18"/>
              </w:rPr>
              <w:t>Each year</w:t>
            </w:r>
          </w:p>
        </w:tc>
        <w:tc>
          <w:tcPr>
            <w:tcW w:type="dxa" w:w="7848"/>
            <w:tcMar>
              <w:top w:w="60" w:type="dxa"/>
              <w:start w:w="70" w:type="dxa"/>
              <w:bottom w:w="60" w:type="dxa"/>
              <w:end w:w="70" w:type="dxa"/>
            </w:tcMar>
            <w:vAlign w:val="center"/>
          </w:tcPr>
          <w:p>
            <w:pPr>
              <w:spacing w:after="0"/>
            </w:pPr>
            <w:r>
              <w:rPr>
                <w:sz w:val="18"/>
              </w:rPr>
              <w:t>Update Form A-17, SLO/DPO summaries, direct-assessment records, the evidence index, and faculty/IAC action records.</w:t>
            </w:r>
          </w:p>
        </w:tc>
      </w:tr>
      <w:tr>
        <w:trPr>
          <w:cantSplit/>
        </w:trPr>
        <w:tc>
          <w:tcPr>
            <w:tcW w:type="dxa" w:w="1944"/>
            <w:tcMar>
              <w:top w:w="60" w:type="dxa"/>
              <w:start w:w="70" w:type="dxa"/>
              <w:bottom w:w="60" w:type="dxa"/>
              <w:end w:w="70" w:type="dxa"/>
            </w:tcMar>
            <w:vAlign w:val="center"/>
          </w:tcPr>
          <w:p>
            <w:pPr>
              <w:spacing w:after="0"/>
            </w:pPr>
            <w:r>
              <w:rPr>
                <w:sz w:val="18"/>
              </w:rPr>
              <w:t>End of cycle</w:t>
            </w:r>
          </w:p>
        </w:tc>
        <w:tc>
          <w:tcPr>
            <w:tcW w:type="dxa" w:w="7848"/>
            <w:tcMar>
              <w:top w:w="60" w:type="dxa"/>
              <w:start w:w="70" w:type="dxa"/>
              <w:bottom w:w="60" w:type="dxa"/>
              <w:end w:w="70" w:type="dxa"/>
            </w:tcMar>
            <w:vAlign w:val="center"/>
          </w:tcPr>
          <w:p>
            <w:pPr>
              <w:spacing w:after="0"/>
            </w:pPr>
            <w:r>
              <w:rPr>
                <w:sz w:val="18"/>
              </w:rPr>
              <w:t>Complete a Section 9.4.1 summary for every SLO and DPO; review prior actions; revise measures as needed; approve the next schedule.</w:t>
            </w:r>
          </w:p>
        </w:tc>
      </w:tr>
    </w:tbl>
    <w:p>
      <w:pPr>
        <w:pStyle w:val="Heading2"/>
      </w:pPr>
      <w:r>
        <w:t>3.4 Current SLO Direct-Assessment Locations</w:t>
      </w:r>
    </w:p>
    <w:p>
      <w:r>
        <w:t>The table below identifies the verified 2025-2026 direct-assessment locations reported in the current Section 9 narrative and reconciled to the revised Section 3 curriculum map. It lists assessment locations, not every course that may provide supporting curriculum coverage. CONS 1003 and CONS 2008 are therefore not shown as direct SLO-assessment locations. Assigned faculty retain the measure, scoring criteria or rubric, de-identified results, course-analysis record, and representative graded evidence.</w:t>
      </w:r>
    </w:p>
    <w:tbl>
      <w:tblPr>
        <w:tblW w:type="auto" w:w="0"/>
        <w:jc w:val="center"/>
        <w:tblLayout w:type="fixed"/>
        <w:tblLook w:firstColumn="1" w:firstRow="1" w:lastColumn="0" w:lastRow="0" w:noHBand="0" w:noVBand="1" w:val="04A0"/>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blGrid>
        <w:gridCol w:w="2520"/>
        <w:gridCol w:w="2520"/>
        <w:gridCol w:w="2520"/>
        <w:gridCol w:w="2520"/>
      </w:tblGrid>
      <w:tr>
        <w:trPr>
          <w:tblHeader w:val="true"/>
          <w:cantSplit/>
        </w:trPr>
        <w:tc>
          <w:tcPr>
            <w:tcW w:type="dxa" w:w="648"/>
            <w:shd w:fill="1F4E79"/>
            <w:tcMar>
              <w:top w:w="60" w:type="dxa"/>
              <w:start w:w="70" w:type="dxa"/>
              <w:bottom w:w="60" w:type="dxa"/>
              <w:end w:w="70" w:type="dxa"/>
            </w:tcMar>
            <w:vAlign w:val="center"/>
          </w:tcPr>
          <w:p>
            <w:pPr>
              <w:spacing w:after="0"/>
            </w:pPr>
            <w:r>
              <w:rPr>
                <w:b/>
                <w:color w:val="FFFFFF"/>
                <w:sz w:val="18"/>
              </w:rPr>
              <w:t>SLO</w:t>
            </w:r>
          </w:p>
        </w:tc>
        <w:tc>
          <w:tcPr>
            <w:tcW w:type="dxa" w:w="4968"/>
            <w:shd w:fill="1F4E79"/>
            <w:tcMar>
              <w:top w:w="60" w:type="dxa"/>
              <w:start w:w="70" w:type="dxa"/>
              <w:bottom w:w="60" w:type="dxa"/>
              <w:end w:w="70" w:type="dxa"/>
            </w:tcMar>
            <w:vAlign w:val="center"/>
          </w:tcPr>
          <w:p>
            <w:pPr>
              <w:spacing w:after="0"/>
            </w:pPr>
            <w:r>
              <w:rPr>
                <w:b/>
                <w:color w:val="FFFFFF"/>
                <w:sz w:val="18"/>
              </w:rPr>
              <w:t>Required outcome</w:t>
            </w:r>
          </w:p>
        </w:tc>
        <w:tc>
          <w:tcPr>
            <w:tcW w:type="dxa" w:w="3168"/>
            <w:shd w:fill="1F4E79"/>
            <w:tcMar>
              <w:top w:w="60" w:type="dxa"/>
              <w:start w:w="70" w:type="dxa"/>
              <w:bottom w:w="60" w:type="dxa"/>
              <w:end w:w="70" w:type="dxa"/>
            </w:tcMar>
            <w:vAlign w:val="center"/>
          </w:tcPr>
          <w:p>
            <w:pPr>
              <w:spacing w:after="0"/>
            </w:pPr>
            <w:r>
              <w:rPr>
                <w:b/>
                <w:color w:val="FFFFFF"/>
                <w:sz w:val="18"/>
              </w:rPr>
              <w:t>Current direct-assessment locations</w:t>
            </w:r>
          </w:p>
        </w:tc>
        <w:tc>
          <w:tcPr>
            <w:tcW w:type="dxa" w:w="1224"/>
            <w:shd w:fill="1F4E79"/>
            <w:tcMar>
              <w:top w:w="60" w:type="dxa"/>
              <w:start w:w="70" w:type="dxa"/>
              <w:bottom w:w="60" w:type="dxa"/>
              <w:end w:w="70" w:type="dxa"/>
            </w:tcMar>
            <w:vAlign w:val="center"/>
          </w:tcPr>
          <w:p>
            <w:pPr>
              <w:spacing w:after="0"/>
            </w:pPr>
            <w:r>
              <w:rPr>
                <w:b/>
                <w:color w:val="FFFFFF"/>
                <w:sz w:val="18"/>
              </w:rPr>
              <w:t>Current cycle status</w:t>
            </w:r>
          </w:p>
        </w:tc>
      </w:tr>
      <w:tr>
        <w:trPr>
          <w:cantSplit/>
        </w:trPr>
        <w:tc>
          <w:tcPr>
            <w:tcW w:type="dxa" w:w="648"/>
            <w:tcMar>
              <w:top w:w="60" w:type="dxa"/>
              <w:start w:w="70" w:type="dxa"/>
              <w:bottom w:w="60" w:type="dxa"/>
              <w:end w:w="70" w:type="dxa"/>
            </w:tcMar>
            <w:vAlign w:val="center"/>
          </w:tcPr>
          <w:p>
            <w:pPr>
              <w:spacing w:after="0"/>
            </w:pPr>
            <w:r>
              <w:rPr>
                <w:sz w:val="18"/>
              </w:rPr>
              <w:t>1</w:t>
            </w:r>
          </w:p>
        </w:tc>
        <w:tc>
          <w:tcPr>
            <w:tcW w:type="dxa" w:w="4968"/>
            <w:tcMar>
              <w:top w:w="60" w:type="dxa"/>
              <w:start w:w="70" w:type="dxa"/>
              <w:bottom w:w="60" w:type="dxa"/>
              <w:end w:w="70" w:type="dxa"/>
            </w:tcMar>
            <w:vAlign w:val="center"/>
          </w:tcPr>
          <w:p>
            <w:pPr>
              <w:spacing w:after="0"/>
            </w:pPr>
            <w:r>
              <w:rPr>
                <w:sz w:val="18"/>
              </w:rPr>
              <w:t>Create written communications appropriate to the construction discipline.</w:t>
            </w:r>
          </w:p>
        </w:tc>
        <w:tc>
          <w:tcPr>
            <w:tcW w:type="dxa" w:w="3168"/>
            <w:tcMar>
              <w:top w:w="60" w:type="dxa"/>
              <w:start w:w="70" w:type="dxa"/>
              <w:bottom w:w="60" w:type="dxa"/>
              <w:end w:w="70" w:type="dxa"/>
            </w:tcMar>
            <w:vAlign w:val="center"/>
          </w:tcPr>
          <w:p>
            <w:pPr>
              <w:spacing w:after="0"/>
            </w:pPr>
            <w:r>
              <w:rPr>
                <w:sz w:val="18"/>
              </w:rPr>
              <w:t>CONS 3060; CONS 4047</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2</w:t>
            </w:r>
          </w:p>
        </w:tc>
        <w:tc>
          <w:tcPr>
            <w:tcW w:type="dxa" w:w="4968"/>
            <w:tcMar>
              <w:top w:w="60" w:type="dxa"/>
              <w:start w:w="70" w:type="dxa"/>
              <w:bottom w:w="60" w:type="dxa"/>
              <w:end w:w="70" w:type="dxa"/>
            </w:tcMar>
            <w:vAlign w:val="center"/>
          </w:tcPr>
          <w:p>
            <w:pPr>
              <w:spacing w:after="0"/>
            </w:pPr>
            <w:r>
              <w:rPr>
                <w:sz w:val="18"/>
              </w:rPr>
              <w:t>Create oral presentations appropriate to the construction discipline.</w:t>
            </w:r>
          </w:p>
        </w:tc>
        <w:tc>
          <w:tcPr>
            <w:tcW w:type="dxa" w:w="3168"/>
            <w:tcMar>
              <w:top w:w="60" w:type="dxa"/>
              <w:start w:w="70" w:type="dxa"/>
              <w:bottom w:w="60" w:type="dxa"/>
              <w:end w:w="70" w:type="dxa"/>
            </w:tcMar>
            <w:vAlign w:val="center"/>
          </w:tcPr>
          <w:p>
            <w:pPr>
              <w:spacing w:after="0"/>
            </w:pPr>
            <w:r>
              <w:rPr>
                <w:sz w:val="18"/>
              </w:rPr>
              <w:t>CONS 3040; CONS 4008</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3</w:t>
            </w:r>
          </w:p>
        </w:tc>
        <w:tc>
          <w:tcPr>
            <w:tcW w:type="dxa" w:w="4968"/>
            <w:tcMar>
              <w:top w:w="60" w:type="dxa"/>
              <w:start w:w="70" w:type="dxa"/>
              <w:bottom w:w="60" w:type="dxa"/>
              <w:end w:w="70" w:type="dxa"/>
            </w:tcMar>
            <w:vAlign w:val="center"/>
          </w:tcPr>
          <w:p>
            <w:pPr>
              <w:spacing w:after="0"/>
            </w:pPr>
            <w:r>
              <w:rPr>
                <w:sz w:val="18"/>
              </w:rPr>
              <w:t>Create a construction project safety plan.</w:t>
            </w:r>
          </w:p>
        </w:tc>
        <w:tc>
          <w:tcPr>
            <w:tcW w:type="dxa" w:w="3168"/>
            <w:tcMar>
              <w:top w:w="60" w:type="dxa"/>
              <w:start w:w="70" w:type="dxa"/>
              <w:bottom w:w="60" w:type="dxa"/>
              <w:end w:w="70" w:type="dxa"/>
            </w:tcMar>
            <w:vAlign w:val="center"/>
          </w:tcPr>
          <w:p>
            <w:pPr>
              <w:spacing w:after="0"/>
            </w:pPr>
            <w:r>
              <w:rPr>
                <w:sz w:val="18"/>
              </w:rPr>
              <w:t>CONS 3060; CONS 4047</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4</w:t>
            </w:r>
          </w:p>
        </w:tc>
        <w:tc>
          <w:tcPr>
            <w:tcW w:type="dxa" w:w="4968"/>
            <w:tcMar>
              <w:top w:w="60" w:type="dxa"/>
              <w:start w:w="70" w:type="dxa"/>
              <w:bottom w:w="60" w:type="dxa"/>
              <w:end w:w="70" w:type="dxa"/>
            </w:tcMar>
            <w:vAlign w:val="center"/>
          </w:tcPr>
          <w:p>
            <w:pPr>
              <w:spacing w:after="0"/>
            </w:pPr>
            <w:r>
              <w:rPr>
                <w:sz w:val="18"/>
              </w:rPr>
              <w:t>Create construction project cost estimates.</w:t>
            </w:r>
          </w:p>
        </w:tc>
        <w:tc>
          <w:tcPr>
            <w:tcW w:type="dxa" w:w="3168"/>
            <w:tcMar>
              <w:top w:w="60" w:type="dxa"/>
              <w:start w:w="70" w:type="dxa"/>
              <w:bottom w:w="60" w:type="dxa"/>
              <w:end w:w="70" w:type="dxa"/>
            </w:tcMar>
            <w:vAlign w:val="center"/>
          </w:tcPr>
          <w:p>
            <w:pPr>
              <w:spacing w:after="0"/>
            </w:pPr>
            <w:r>
              <w:rPr>
                <w:sz w:val="18"/>
              </w:rPr>
              <w:t>CONS 4008; CONS 4047</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5</w:t>
            </w:r>
          </w:p>
        </w:tc>
        <w:tc>
          <w:tcPr>
            <w:tcW w:type="dxa" w:w="4968"/>
            <w:tcMar>
              <w:top w:w="60" w:type="dxa"/>
              <w:start w:w="70" w:type="dxa"/>
              <w:bottom w:w="60" w:type="dxa"/>
              <w:end w:w="70" w:type="dxa"/>
            </w:tcMar>
            <w:vAlign w:val="center"/>
          </w:tcPr>
          <w:p>
            <w:pPr>
              <w:spacing w:after="0"/>
            </w:pPr>
            <w:r>
              <w:rPr>
                <w:sz w:val="18"/>
              </w:rPr>
              <w:t>Create construction project schedules.</w:t>
            </w:r>
          </w:p>
        </w:tc>
        <w:tc>
          <w:tcPr>
            <w:tcW w:type="dxa" w:w="3168"/>
            <w:tcMar>
              <w:top w:w="60" w:type="dxa"/>
              <w:start w:w="70" w:type="dxa"/>
              <w:bottom w:w="60" w:type="dxa"/>
              <w:end w:w="70" w:type="dxa"/>
            </w:tcMar>
            <w:vAlign w:val="center"/>
          </w:tcPr>
          <w:p>
            <w:pPr>
              <w:spacing w:after="0"/>
            </w:pPr>
            <w:r>
              <w:rPr>
                <w:sz w:val="18"/>
              </w:rPr>
              <w:t>CONS 4020; CONS 4047</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6</w:t>
            </w:r>
          </w:p>
        </w:tc>
        <w:tc>
          <w:tcPr>
            <w:tcW w:type="dxa" w:w="4968"/>
            <w:tcMar>
              <w:top w:w="60" w:type="dxa"/>
              <w:start w:w="70" w:type="dxa"/>
              <w:bottom w:w="60" w:type="dxa"/>
              <w:end w:w="70" w:type="dxa"/>
            </w:tcMar>
            <w:vAlign w:val="center"/>
          </w:tcPr>
          <w:p>
            <w:pPr>
              <w:spacing w:after="0"/>
            </w:pPr>
            <w:r>
              <w:rPr>
                <w:sz w:val="18"/>
              </w:rPr>
              <w:t>Analyze professional decisions based on ethical principles.</w:t>
            </w:r>
          </w:p>
        </w:tc>
        <w:tc>
          <w:tcPr>
            <w:tcW w:type="dxa" w:w="3168"/>
            <w:tcMar>
              <w:top w:w="60" w:type="dxa"/>
              <w:start w:w="70" w:type="dxa"/>
              <w:bottom w:w="60" w:type="dxa"/>
              <w:end w:w="70" w:type="dxa"/>
            </w:tcMar>
            <w:vAlign w:val="center"/>
          </w:tcPr>
          <w:p>
            <w:pPr>
              <w:spacing w:after="0"/>
            </w:pPr>
            <w:r>
              <w:rPr>
                <w:sz w:val="18"/>
              </w:rPr>
              <w:t>CONS 1040; CONS 1050; CONS 4020</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7</w:t>
            </w:r>
          </w:p>
        </w:tc>
        <w:tc>
          <w:tcPr>
            <w:tcW w:type="dxa" w:w="4968"/>
            <w:tcMar>
              <w:top w:w="60" w:type="dxa"/>
              <w:start w:w="70" w:type="dxa"/>
              <w:bottom w:w="60" w:type="dxa"/>
              <w:end w:w="70" w:type="dxa"/>
            </w:tcMar>
            <w:vAlign w:val="center"/>
          </w:tcPr>
          <w:p>
            <w:pPr>
              <w:spacing w:after="0"/>
            </w:pPr>
            <w:r>
              <w:rPr>
                <w:sz w:val="18"/>
              </w:rPr>
              <w:t>Analyze methods, materials, and equipment used to construct projects.</w:t>
            </w:r>
          </w:p>
        </w:tc>
        <w:tc>
          <w:tcPr>
            <w:tcW w:type="dxa" w:w="3168"/>
            <w:tcMar>
              <w:top w:w="60" w:type="dxa"/>
              <w:start w:w="70" w:type="dxa"/>
              <w:bottom w:w="60" w:type="dxa"/>
              <w:end w:w="70" w:type="dxa"/>
            </w:tcMar>
            <w:vAlign w:val="center"/>
          </w:tcPr>
          <w:p>
            <w:pPr>
              <w:spacing w:after="0"/>
            </w:pPr>
            <w:r>
              <w:rPr>
                <w:sz w:val="18"/>
              </w:rPr>
              <w:t>CONS 1040; CONS 1050</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8</w:t>
            </w:r>
          </w:p>
        </w:tc>
        <w:tc>
          <w:tcPr>
            <w:tcW w:type="dxa" w:w="4968"/>
            <w:tcMar>
              <w:top w:w="60" w:type="dxa"/>
              <w:start w:w="70" w:type="dxa"/>
              <w:bottom w:w="60" w:type="dxa"/>
              <w:end w:w="70" w:type="dxa"/>
            </w:tcMar>
            <w:vAlign w:val="center"/>
          </w:tcPr>
          <w:p>
            <w:pPr>
              <w:spacing w:after="0"/>
            </w:pPr>
            <w:r>
              <w:rPr>
                <w:sz w:val="18"/>
              </w:rPr>
              <w:t>Apply electronic-based technology to manage the construction process.</w:t>
            </w:r>
          </w:p>
        </w:tc>
        <w:tc>
          <w:tcPr>
            <w:tcW w:type="dxa" w:w="3168"/>
            <w:tcMar>
              <w:top w:w="60" w:type="dxa"/>
              <w:start w:w="70" w:type="dxa"/>
              <w:bottom w:w="60" w:type="dxa"/>
              <w:end w:w="70" w:type="dxa"/>
            </w:tcMar>
            <w:vAlign w:val="center"/>
          </w:tcPr>
          <w:p>
            <w:pPr>
              <w:spacing w:after="0"/>
            </w:pPr>
            <w:r>
              <w:rPr>
                <w:sz w:val="18"/>
              </w:rPr>
              <w:t>CONS 3030; CONS 3040</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9</w:t>
            </w:r>
          </w:p>
        </w:tc>
        <w:tc>
          <w:tcPr>
            <w:tcW w:type="dxa" w:w="4968"/>
            <w:tcMar>
              <w:top w:w="60" w:type="dxa"/>
              <w:start w:w="70" w:type="dxa"/>
              <w:bottom w:w="60" w:type="dxa"/>
              <w:end w:w="70" w:type="dxa"/>
            </w:tcMar>
            <w:vAlign w:val="center"/>
          </w:tcPr>
          <w:p>
            <w:pPr>
              <w:spacing w:after="0"/>
            </w:pPr>
            <w:r>
              <w:rPr>
                <w:sz w:val="18"/>
              </w:rPr>
              <w:t>Apply basic surveying techniques for construction layout and control.</w:t>
            </w:r>
          </w:p>
        </w:tc>
        <w:tc>
          <w:tcPr>
            <w:tcW w:type="dxa" w:w="3168"/>
            <w:tcMar>
              <w:top w:w="60" w:type="dxa"/>
              <w:start w:w="70" w:type="dxa"/>
              <w:bottom w:w="60" w:type="dxa"/>
              <w:end w:w="70" w:type="dxa"/>
            </w:tcMar>
            <w:vAlign w:val="center"/>
          </w:tcPr>
          <w:p>
            <w:pPr>
              <w:spacing w:after="0"/>
            </w:pPr>
            <w:r>
              <w:rPr>
                <w:sz w:val="18"/>
              </w:rPr>
              <w:t>CONS 2011 (leveling and traverse)</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10</w:t>
            </w:r>
          </w:p>
        </w:tc>
        <w:tc>
          <w:tcPr>
            <w:tcW w:type="dxa" w:w="4968"/>
            <w:tcMar>
              <w:top w:w="60" w:type="dxa"/>
              <w:start w:w="70" w:type="dxa"/>
              <w:bottom w:w="60" w:type="dxa"/>
              <w:end w:w="70" w:type="dxa"/>
            </w:tcMar>
            <w:vAlign w:val="center"/>
          </w:tcPr>
          <w:p>
            <w:pPr>
              <w:spacing w:after="0"/>
            </w:pPr>
            <w:r>
              <w:rPr>
                <w:sz w:val="18"/>
              </w:rPr>
              <w:t>Understand different methods of project delivery and the roles and responsibilities of all constituencies involved in the design and construction process.</w:t>
            </w:r>
          </w:p>
        </w:tc>
        <w:tc>
          <w:tcPr>
            <w:tcW w:type="dxa" w:w="3168"/>
            <w:tcMar>
              <w:top w:w="60" w:type="dxa"/>
              <w:start w:w="70" w:type="dxa"/>
              <w:bottom w:w="60" w:type="dxa"/>
              <w:end w:w="70" w:type="dxa"/>
            </w:tcMar>
            <w:vAlign w:val="center"/>
          </w:tcPr>
          <w:p>
            <w:pPr>
              <w:spacing w:after="0"/>
            </w:pPr>
            <w:r>
              <w:rPr>
                <w:sz w:val="18"/>
              </w:rPr>
              <w:t>CONS 3030; CONS 4040</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11</w:t>
            </w:r>
          </w:p>
        </w:tc>
        <w:tc>
          <w:tcPr>
            <w:tcW w:type="dxa" w:w="4968"/>
            <w:tcMar>
              <w:top w:w="60" w:type="dxa"/>
              <w:start w:w="70" w:type="dxa"/>
              <w:bottom w:w="60" w:type="dxa"/>
              <w:end w:w="70" w:type="dxa"/>
            </w:tcMar>
            <w:vAlign w:val="center"/>
          </w:tcPr>
          <w:p>
            <w:pPr>
              <w:spacing w:after="0"/>
            </w:pPr>
            <w:r>
              <w:rPr>
                <w:sz w:val="18"/>
              </w:rPr>
              <w:t>Understand construction accounting and cost control.</w:t>
            </w:r>
          </w:p>
        </w:tc>
        <w:tc>
          <w:tcPr>
            <w:tcW w:type="dxa" w:w="3168"/>
            <w:tcMar>
              <w:top w:w="60" w:type="dxa"/>
              <w:start w:w="70" w:type="dxa"/>
              <w:bottom w:w="60" w:type="dxa"/>
              <w:end w:w="70" w:type="dxa"/>
            </w:tcMar>
            <w:vAlign w:val="center"/>
          </w:tcPr>
          <w:p>
            <w:pPr>
              <w:spacing w:after="0"/>
            </w:pPr>
            <w:r>
              <w:rPr>
                <w:sz w:val="18"/>
              </w:rPr>
              <w:t>CONS 4020; CONS 4040</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12</w:t>
            </w:r>
          </w:p>
        </w:tc>
        <w:tc>
          <w:tcPr>
            <w:tcW w:type="dxa" w:w="4968"/>
            <w:tcMar>
              <w:top w:w="60" w:type="dxa"/>
              <w:start w:w="70" w:type="dxa"/>
              <w:bottom w:w="60" w:type="dxa"/>
              <w:end w:w="70" w:type="dxa"/>
            </w:tcMar>
            <w:vAlign w:val="center"/>
          </w:tcPr>
          <w:p>
            <w:pPr>
              <w:spacing w:after="0"/>
            </w:pPr>
            <w:r>
              <w:rPr>
                <w:sz w:val="18"/>
              </w:rPr>
              <w:t>Understand construction quality assurance and control.</w:t>
            </w:r>
          </w:p>
        </w:tc>
        <w:tc>
          <w:tcPr>
            <w:tcW w:type="dxa" w:w="3168"/>
            <w:tcMar>
              <w:top w:w="60" w:type="dxa"/>
              <w:start w:w="70" w:type="dxa"/>
              <w:bottom w:w="60" w:type="dxa"/>
              <w:end w:w="70" w:type="dxa"/>
            </w:tcMar>
            <w:vAlign w:val="center"/>
          </w:tcPr>
          <w:p>
            <w:pPr>
              <w:spacing w:after="0"/>
            </w:pPr>
            <w:r>
              <w:rPr>
                <w:sz w:val="18"/>
              </w:rPr>
              <w:t>CONS 3030; CONS 4047</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13</w:t>
            </w:r>
          </w:p>
        </w:tc>
        <w:tc>
          <w:tcPr>
            <w:tcW w:type="dxa" w:w="4968"/>
            <w:tcMar>
              <w:top w:w="60" w:type="dxa"/>
              <w:start w:w="70" w:type="dxa"/>
              <w:bottom w:w="60" w:type="dxa"/>
              <w:end w:w="70" w:type="dxa"/>
            </w:tcMar>
            <w:vAlign w:val="center"/>
          </w:tcPr>
          <w:p>
            <w:pPr>
              <w:spacing w:after="0"/>
            </w:pPr>
            <w:r>
              <w:rPr>
                <w:sz w:val="18"/>
              </w:rPr>
              <w:t>Understand construction project control processes.</w:t>
            </w:r>
          </w:p>
        </w:tc>
        <w:tc>
          <w:tcPr>
            <w:tcW w:type="dxa" w:w="3168"/>
            <w:tcMar>
              <w:top w:w="60" w:type="dxa"/>
              <w:start w:w="70" w:type="dxa"/>
              <w:bottom w:w="60" w:type="dxa"/>
              <w:end w:w="70" w:type="dxa"/>
            </w:tcMar>
            <w:vAlign w:val="center"/>
          </w:tcPr>
          <w:p>
            <w:pPr>
              <w:spacing w:after="0"/>
            </w:pPr>
            <w:r>
              <w:rPr>
                <w:sz w:val="18"/>
              </w:rPr>
              <w:t>CONS 3030; CONS 4040</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14</w:t>
            </w:r>
          </w:p>
        </w:tc>
        <w:tc>
          <w:tcPr>
            <w:tcW w:type="dxa" w:w="4968"/>
            <w:tcMar>
              <w:top w:w="60" w:type="dxa"/>
              <w:start w:w="70" w:type="dxa"/>
              <w:bottom w:w="60" w:type="dxa"/>
              <w:end w:w="70" w:type="dxa"/>
            </w:tcMar>
            <w:vAlign w:val="center"/>
          </w:tcPr>
          <w:p>
            <w:pPr>
              <w:spacing w:after="0"/>
            </w:pPr>
            <w:r>
              <w:rPr>
                <w:sz w:val="18"/>
              </w:rPr>
              <w:t>Understand the legal implications of contract, common, and regulatory law to manage a construction project.</w:t>
            </w:r>
          </w:p>
        </w:tc>
        <w:tc>
          <w:tcPr>
            <w:tcW w:type="dxa" w:w="3168"/>
            <w:tcMar>
              <w:top w:w="60" w:type="dxa"/>
              <w:start w:w="70" w:type="dxa"/>
              <w:bottom w:w="60" w:type="dxa"/>
              <w:end w:w="70" w:type="dxa"/>
            </w:tcMar>
            <w:vAlign w:val="center"/>
          </w:tcPr>
          <w:p>
            <w:pPr>
              <w:spacing w:after="0"/>
            </w:pPr>
            <w:r>
              <w:rPr>
                <w:sz w:val="18"/>
              </w:rPr>
              <w:t>CONS 4040 (Exams 1 and 3)</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15</w:t>
            </w:r>
          </w:p>
        </w:tc>
        <w:tc>
          <w:tcPr>
            <w:tcW w:type="dxa" w:w="4968"/>
            <w:tcMar>
              <w:top w:w="60" w:type="dxa"/>
              <w:start w:w="70" w:type="dxa"/>
              <w:bottom w:w="60" w:type="dxa"/>
              <w:end w:w="70" w:type="dxa"/>
            </w:tcMar>
            <w:vAlign w:val="center"/>
          </w:tcPr>
          <w:p>
            <w:pPr>
              <w:spacing w:after="0"/>
            </w:pPr>
            <w:r>
              <w:rPr>
                <w:sz w:val="18"/>
              </w:rPr>
              <w:t>Understand the basic principles of sustainable construction.</w:t>
            </w:r>
          </w:p>
        </w:tc>
        <w:tc>
          <w:tcPr>
            <w:tcW w:type="dxa" w:w="3168"/>
            <w:tcMar>
              <w:top w:w="60" w:type="dxa"/>
              <w:start w:w="70" w:type="dxa"/>
              <w:bottom w:w="60" w:type="dxa"/>
              <w:end w:w="70" w:type="dxa"/>
            </w:tcMar>
            <w:vAlign w:val="center"/>
          </w:tcPr>
          <w:p>
            <w:pPr>
              <w:spacing w:after="0"/>
            </w:pPr>
            <w:r>
              <w:rPr>
                <w:sz w:val="18"/>
              </w:rPr>
              <w:t>CONS 2005; CONS 2010</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16</w:t>
            </w:r>
          </w:p>
        </w:tc>
        <w:tc>
          <w:tcPr>
            <w:tcW w:type="dxa" w:w="4968"/>
            <w:tcMar>
              <w:top w:w="60" w:type="dxa"/>
              <w:start w:w="70" w:type="dxa"/>
              <w:bottom w:w="60" w:type="dxa"/>
              <w:end w:w="70" w:type="dxa"/>
            </w:tcMar>
            <w:vAlign w:val="center"/>
          </w:tcPr>
          <w:p>
            <w:pPr>
              <w:spacing w:after="0"/>
            </w:pPr>
            <w:r>
              <w:rPr>
                <w:sz w:val="18"/>
              </w:rPr>
              <w:t>Understand the basic principles of structural behavior.</w:t>
            </w:r>
          </w:p>
        </w:tc>
        <w:tc>
          <w:tcPr>
            <w:tcW w:type="dxa" w:w="3168"/>
            <w:tcMar>
              <w:top w:w="60" w:type="dxa"/>
              <w:start w:w="70" w:type="dxa"/>
              <w:bottom w:w="60" w:type="dxa"/>
              <w:end w:w="70" w:type="dxa"/>
            </w:tcMar>
            <w:vAlign w:val="center"/>
          </w:tcPr>
          <w:p>
            <w:pPr>
              <w:spacing w:after="0"/>
            </w:pPr>
            <w:r>
              <w:rPr>
                <w:sz w:val="18"/>
              </w:rPr>
              <w:t>CONS 2015; CONS 3015</w:t>
            </w:r>
          </w:p>
        </w:tc>
        <w:tc>
          <w:tcPr>
            <w:tcW w:type="dxa" w:w="1224"/>
            <w:tcMar>
              <w:top w:w="60" w:type="dxa"/>
              <w:start w:w="70" w:type="dxa"/>
              <w:bottom w:w="60" w:type="dxa"/>
              <w:end w:w="70" w:type="dxa"/>
            </w:tcMar>
            <w:vAlign w:val="center"/>
          </w:tcPr>
          <w:p>
            <w:pPr>
              <w:spacing w:after="0"/>
            </w:pPr>
            <w:r>
              <w:rPr>
                <w:sz w:val="18"/>
              </w:rPr>
              <w:t>Complete</w:t>
            </w:r>
          </w:p>
        </w:tc>
      </w:tr>
      <w:tr>
        <w:trPr>
          <w:cantSplit/>
        </w:trPr>
        <w:tc>
          <w:tcPr>
            <w:tcW w:type="dxa" w:w="648"/>
            <w:tcMar>
              <w:top w:w="60" w:type="dxa"/>
              <w:start w:w="70" w:type="dxa"/>
              <w:bottom w:w="60" w:type="dxa"/>
              <w:end w:w="70" w:type="dxa"/>
            </w:tcMar>
            <w:vAlign w:val="center"/>
          </w:tcPr>
          <w:p>
            <w:pPr>
              <w:spacing w:after="0"/>
            </w:pPr>
            <w:r>
              <w:rPr>
                <w:sz w:val="18"/>
              </w:rPr>
              <w:t>17</w:t>
            </w:r>
          </w:p>
        </w:tc>
        <w:tc>
          <w:tcPr>
            <w:tcW w:type="dxa" w:w="4968"/>
            <w:tcMar>
              <w:top w:w="60" w:type="dxa"/>
              <w:start w:w="70" w:type="dxa"/>
              <w:bottom w:w="60" w:type="dxa"/>
              <w:end w:w="70" w:type="dxa"/>
            </w:tcMar>
            <w:vAlign w:val="center"/>
          </w:tcPr>
          <w:p>
            <w:pPr>
              <w:spacing w:after="0"/>
            </w:pPr>
            <w:r>
              <w:rPr>
                <w:sz w:val="18"/>
              </w:rPr>
              <w:t>Understand the basic principles of HVAC, electrical and plumbing systems.</w:t>
            </w:r>
          </w:p>
        </w:tc>
        <w:tc>
          <w:tcPr>
            <w:tcW w:type="dxa" w:w="3168"/>
            <w:tcMar>
              <w:top w:w="60" w:type="dxa"/>
              <w:start w:w="70" w:type="dxa"/>
              <w:bottom w:w="60" w:type="dxa"/>
              <w:end w:w="70" w:type="dxa"/>
            </w:tcMar>
            <w:vAlign w:val="center"/>
          </w:tcPr>
          <w:p>
            <w:pPr>
              <w:spacing w:after="0"/>
            </w:pPr>
            <w:r>
              <w:rPr>
                <w:sz w:val="18"/>
              </w:rPr>
              <w:t>CONS 2005 (electrical, HVAC, and plumbing)</w:t>
            </w:r>
          </w:p>
        </w:tc>
        <w:tc>
          <w:tcPr>
            <w:tcW w:type="dxa" w:w="1224"/>
            <w:tcMar>
              <w:top w:w="60" w:type="dxa"/>
              <w:start w:w="70" w:type="dxa"/>
              <w:bottom w:w="60" w:type="dxa"/>
              <w:end w:w="70" w:type="dxa"/>
            </w:tcMar>
            <w:vAlign w:val="center"/>
          </w:tcPr>
          <w:p>
            <w:pPr>
              <w:spacing w:after="0"/>
            </w:pPr>
            <w:r>
              <w:rPr>
                <w:sz w:val="18"/>
              </w:rPr>
              <w:t>Complete</w:t>
            </w:r>
          </w:p>
        </w:tc>
      </w:tr>
    </w:tbl>
    <w:p>
      <w:pPr>
        <w:pStyle w:val="Heading2"/>
      </w:pPr>
      <w:r>
        <w:t>3.5 Assessment Controls</w:t>
      </w:r>
    </w:p>
    <w:p>
      <w:pPr>
        <w:pStyle w:val="ListBullet"/>
        <w:spacing w:after="60"/>
      </w:pPr>
      <w:r>
        <w:t>Use at least two direct measures for each SLO. When two measures are housed in one course package, as with the two CONS 4040 examinations for SLO 14, report each measure separately in the SLO summary.</w:t>
      </w:r>
    </w:p>
    <w:p>
      <w:pPr>
        <w:pStyle w:val="ListBullet"/>
        <w:spacing w:after="60"/>
      </w:pPr>
      <w:r>
        <w:t>Score an individual product, presentation, examination, calculation, peer-validated component, or other individual evidence when a team project is used; a team grade alone is not an SLO measure.</w:t>
      </w:r>
    </w:p>
    <w:p>
      <w:pPr>
        <w:pStyle w:val="ListBullet"/>
        <w:spacing w:after="60"/>
      </w:pPr>
      <w:r>
        <w:t>Retain comprehensive domain results and the current benchmark when a third-party examination is used.</w:t>
      </w:r>
    </w:p>
    <w:p>
      <w:pPr>
        <w:pStyle w:val="ListBullet"/>
        <w:spacing w:after="60"/>
      </w:pPr>
      <w:r>
        <w:t>Compare current and immediately previous results, identify an action or maintenance decision, and retain dated follow-up evidence.</w:t>
      </w:r>
    </w:p>
    <w:p>
      <w:pPr>
        <w:pStyle w:val="ListBullet"/>
        <w:spacing w:after="60"/>
      </w:pPr>
      <w:r>
        <w:t>Complete the full cycle for every SLO and DPO at least once every three years.</w:t>
      </w:r>
    </w:p>
    <w:p>
      <w:pPr>
        <w:pStyle w:val="Heading1"/>
      </w:pPr>
      <w:r>
        <w:t>4. Determination of Achievement and Improvement Actions</w:t>
      </w:r>
    </w:p>
    <w:p>
      <w:r>
        <w:t>A separate summary report is maintained for every SLO and DPO. Each report identifies the direct measures, current evaluation, immediately previous evaluation, corrective or maintenance action, dated follow-up and impact, and any revision to the assessment tool. The completed 2025-2026 cycle contains 35 current-cycle direct-assessment packages documenting 36 measures. Thirteen SLOs met the criterion; SLOs 9, 13, and 17 produced mixed results, and SLO 16 did not meet the criterion. DPOs 1, 3, 4, and 5 met their criteria, while DPO 2 is progressing toward the 2028 Strategic Plan targets. Corrective actions focus on leveling, project controls, structural behavior, and electrical systems. The current Section 9 evidence index and the SLO/DPO folders are the controlling records for these results.</w:t>
      </w:r>
    </w:p>
    <w:tbl>
      <w:tblPr>
        <w:tblW w:type="auto" w:w="0"/>
        <w:jc w:val="center"/>
        <w:tblLayout w:type="fixed"/>
        <w:tblLook w:firstColumn="1" w:firstRow="1" w:lastColumn="0" w:lastRow="0" w:noHBand="0" w:noVBand="1" w:val="04A0"/>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blGrid>
        <w:gridCol w:w="5040"/>
        <w:gridCol w:w="5040"/>
      </w:tblGrid>
      <w:tr>
        <w:trPr>
          <w:tblHeader w:val="true"/>
          <w:cantSplit/>
        </w:trPr>
        <w:tc>
          <w:tcPr>
            <w:tcW w:type="dxa" w:w="2088"/>
            <w:shd w:fill="1F4E79"/>
            <w:tcMar>
              <w:top w:w="60" w:type="dxa"/>
              <w:start w:w="70" w:type="dxa"/>
              <w:bottom w:w="60" w:type="dxa"/>
              <w:end w:w="70" w:type="dxa"/>
            </w:tcMar>
            <w:vAlign w:val="center"/>
          </w:tcPr>
          <w:p>
            <w:pPr>
              <w:spacing w:after="0"/>
            </w:pPr>
            <w:r>
              <w:rPr>
                <w:b/>
                <w:color w:val="FFFFFF"/>
                <w:sz w:val="18"/>
              </w:rPr>
              <w:t>Evidence group</w:t>
            </w:r>
          </w:p>
        </w:tc>
        <w:tc>
          <w:tcPr>
            <w:tcW w:type="dxa" w:w="7704"/>
            <w:shd w:fill="1F4E79"/>
            <w:tcMar>
              <w:top w:w="60" w:type="dxa"/>
              <w:start w:w="70" w:type="dxa"/>
              <w:bottom w:w="60" w:type="dxa"/>
              <w:end w:w="70" w:type="dxa"/>
            </w:tcMar>
            <w:vAlign w:val="center"/>
          </w:tcPr>
          <w:p>
            <w:pPr>
              <w:spacing w:after="0"/>
            </w:pPr>
            <w:r>
              <w:rPr>
                <w:b/>
                <w:color w:val="FFFFFF"/>
                <w:sz w:val="18"/>
              </w:rPr>
              <w:t>Minimum contents</w:t>
            </w:r>
          </w:p>
        </w:tc>
      </w:tr>
      <w:tr>
        <w:trPr>
          <w:cantSplit/>
        </w:trPr>
        <w:tc>
          <w:tcPr>
            <w:tcW w:type="dxa" w:w="2088"/>
            <w:tcMar>
              <w:top w:w="60" w:type="dxa"/>
              <w:start w:w="70" w:type="dxa"/>
              <w:bottom w:w="60" w:type="dxa"/>
              <w:end w:w="70" w:type="dxa"/>
            </w:tcMar>
            <w:vAlign w:val="center"/>
          </w:tcPr>
          <w:p>
            <w:pPr>
              <w:spacing w:after="0"/>
            </w:pPr>
            <w:r>
              <w:rPr>
                <w:sz w:val="18"/>
              </w:rPr>
              <w:t>Strategic Plan</w:t>
            </w:r>
          </w:p>
        </w:tc>
        <w:tc>
          <w:tcPr>
            <w:tcW w:type="dxa" w:w="7704"/>
            <w:tcMar>
              <w:top w:w="60" w:type="dxa"/>
              <w:start w:w="70" w:type="dxa"/>
              <w:bottom w:w="60" w:type="dxa"/>
              <w:end w:w="70" w:type="dxa"/>
            </w:tcMar>
            <w:vAlign w:val="center"/>
          </w:tcPr>
          <w:p>
            <w:pPr>
              <w:spacing w:after="0"/>
            </w:pPr>
            <w:r>
              <w:rPr>
                <w:sz w:val="18"/>
              </w:rPr>
              <w:t>Ratified plan, Spring 2026 cost report, IAC minutes, annual progress and resource records</w:t>
            </w:r>
          </w:p>
        </w:tc>
      </w:tr>
      <w:tr>
        <w:trPr>
          <w:cantSplit/>
        </w:trPr>
        <w:tc>
          <w:tcPr>
            <w:tcW w:type="dxa" w:w="2088"/>
            <w:tcMar>
              <w:top w:w="60" w:type="dxa"/>
              <w:start w:w="70" w:type="dxa"/>
              <w:bottom w:w="60" w:type="dxa"/>
              <w:end w:w="70" w:type="dxa"/>
            </w:tcMar>
            <w:vAlign w:val="center"/>
          </w:tcPr>
          <w:p>
            <w:pPr>
              <w:spacing w:after="0"/>
            </w:pPr>
            <w:r>
              <w:rPr>
                <w:sz w:val="18"/>
              </w:rPr>
              <w:t>SLO folder</w:t>
            </w:r>
          </w:p>
        </w:tc>
        <w:tc>
          <w:tcPr>
            <w:tcW w:type="dxa" w:w="7704"/>
            <w:tcMar>
              <w:top w:w="60" w:type="dxa"/>
              <w:start w:w="70" w:type="dxa"/>
              <w:bottom w:w="60" w:type="dxa"/>
              <w:end w:w="70" w:type="dxa"/>
            </w:tcMar>
            <w:vAlign w:val="center"/>
          </w:tcPr>
          <w:p>
            <w:pPr>
              <w:spacing w:after="0"/>
            </w:pPr>
            <w:r>
              <w:rPr>
                <w:sz w:val="18"/>
              </w:rPr>
              <w:t>Summary report; labeled Direct Assessments packages; course-analysis record; assessment tool; scoring criteria or rubric; de-identified results; representative graded evidence; action and follow-up evidence</w:t>
            </w:r>
          </w:p>
        </w:tc>
      </w:tr>
      <w:tr>
        <w:trPr>
          <w:cantSplit/>
        </w:trPr>
        <w:tc>
          <w:tcPr>
            <w:tcW w:type="dxa" w:w="2088"/>
            <w:tcMar>
              <w:top w:w="60" w:type="dxa"/>
              <w:start w:w="70" w:type="dxa"/>
              <w:bottom w:w="60" w:type="dxa"/>
              <w:end w:w="70" w:type="dxa"/>
            </w:tcMar>
            <w:vAlign w:val="center"/>
          </w:tcPr>
          <w:p>
            <w:pPr>
              <w:spacing w:after="0"/>
            </w:pPr>
            <w:r>
              <w:rPr>
                <w:sz w:val="18"/>
              </w:rPr>
              <w:t>DPO folder</w:t>
            </w:r>
          </w:p>
        </w:tc>
        <w:tc>
          <w:tcPr>
            <w:tcW w:type="dxa" w:w="7704"/>
            <w:tcMar>
              <w:top w:w="60" w:type="dxa"/>
              <w:start w:w="70" w:type="dxa"/>
              <w:bottom w:w="60" w:type="dxa"/>
              <w:end w:w="70" w:type="dxa"/>
            </w:tcMar>
            <w:vAlign w:val="center"/>
          </w:tcPr>
          <w:p>
            <w:pPr>
              <w:spacing w:after="0"/>
            </w:pPr>
            <w:r>
              <w:rPr>
                <w:sz w:val="18"/>
              </w:rPr>
              <w:t>Summary report, direct record/result, criterion, additional measure, action/follow-up evidence and applicability statement</w:t>
            </w:r>
          </w:p>
        </w:tc>
      </w:tr>
      <w:tr>
        <w:trPr>
          <w:cantSplit/>
        </w:trPr>
        <w:tc>
          <w:tcPr>
            <w:tcW w:type="dxa" w:w="2088"/>
            <w:tcMar>
              <w:top w:w="60" w:type="dxa"/>
              <w:start w:w="70" w:type="dxa"/>
              <w:bottom w:w="60" w:type="dxa"/>
              <w:end w:w="70" w:type="dxa"/>
            </w:tcMar>
            <w:vAlign w:val="center"/>
          </w:tcPr>
          <w:p>
            <w:pPr>
              <w:spacing w:after="0"/>
            </w:pPr>
            <w:r>
              <w:rPr>
                <w:sz w:val="18"/>
              </w:rPr>
              <w:t>Cycle records</w:t>
            </w:r>
          </w:p>
        </w:tc>
        <w:tc>
          <w:tcPr>
            <w:tcW w:type="dxa" w:w="7704"/>
            <w:tcMar>
              <w:top w:w="60" w:type="dxa"/>
              <w:start w:w="70" w:type="dxa"/>
              <w:bottom w:w="60" w:type="dxa"/>
              <w:end w:w="70" w:type="dxa"/>
            </w:tcMar>
            <w:vAlign w:val="center"/>
          </w:tcPr>
          <w:p>
            <w:pPr>
              <w:spacing w:after="0"/>
            </w:pPr>
            <w:r>
              <w:rPr>
                <w:sz w:val="18"/>
              </w:rPr>
              <w:t>Annual schedule, faculty/IAC review minutes, action log, evidence index, tool revisions and next-cycle approval</w:t>
            </w:r>
          </w:p>
        </w:tc>
      </w:tr>
    </w:tbl>
    <w:p>
      <w:pPr>
        <w:pStyle w:val="Heading1"/>
      </w:pPr>
      <w:r>
        <w:t>5. Governance and Review</w:t>
      </w:r>
    </w:p>
    <w:p>
      <w:r>
        <w:t>The Director and faculty review the strategic plan, DPO dashboard, SLO schedule, results, and action log annually. The IAC reviews strategic priorities, curriculum, industry needs, resource actions, and program outcomes at its regular meetings. Student course evaluations, graduating-student interviews, graduate and employer surveys, official institutional data, faculty review, alumni input, and administrative resource review inform decisions.</w:t>
      </w:r>
    </w:p>
    <w:tbl>
      <w:tblPr>
        <w:tblW w:type="auto" w:w="0"/>
        <w:jc w:val="center"/>
        <w:tblLayout w:type="fixed"/>
        <w:tblLook w:firstColumn="1" w:firstRow="1" w:lastColumn="0" w:lastRow="0" w:noHBand="0" w:noVBand="1" w:val="04A0"/>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Pr>
      <w:tblGrid>
        <w:gridCol w:w="5040"/>
        <w:gridCol w:w="5040"/>
      </w:tblGrid>
      <w:tr>
        <w:trPr>
          <w:tblHeader w:val="true"/>
          <w:cantSplit/>
        </w:trPr>
        <w:tc>
          <w:tcPr>
            <w:tcW w:type="dxa" w:w="2232"/>
            <w:shd w:fill="1F4E79"/>
            <w:tcMar>
              <w:top w:w="60" w:type="dxa"/>
              <w:start w:w="70" w:type="dxa"/>
              <w:bottom w:w="60" w:type="dxa"/>
              <w:end w:w="70" w:type="dxa"/>
            </w:tcMar>
            <w:vAlign w:val="center"/>
          </w:tcPr>
          <w:p>
            <w:pPr>
              <w:spacing w:after="0"/>
            </w:pPr>
            <w:r>
              <w:rPr>
                <w:b/>
                <w:color w:val="FFFFFF"/>
                <w:sz w:val="18"/>
              </w:rPr>
              <w:t>Review point</w:t>
            </w:r>
          </w:p>
        </w:tc>
        <w:tc>
          <w:tcPr>
            <w:tcW w:type="dxa" w:w="7560"/>
            <w:shd w:fill="1F4E79"/>
            <w:tcMar>
              <w:top w:w="60" w:type="dxa"/>
              <w:start w:w="70" w:type="dxa"/>
              <w:bottom w:w="60" w:type="dxa"/>
              <w:end w:w="70" w:type="dxa"/>
            </w:tcMar>
            <w:vAlign w:val="center"/>
          </w:tcPr>
          <w:p>
            <w:pPr>
              <w:spacing w:after="0"/>
            </w:pPr>
            <w:r>
              <w:rPr>
                <w:b/>
                <w:color w:val="FFFFFF"/>
                <w:sz w:val="18"/>
              </w:rPr>
              <w:t>Governance record</w:t>
            </w:r>
          </w:p>
        </w:tc>
      </w:tr>
      <w:tr>
        <w:trPr>
          <w:cantSplit/>
        </w:trPr>
        <w:tc>
          <w:tcPr>
            <w:tcW w:type="dxa" w:w="2232"/>
            <w:tcMar>
              <w:top w:w="60" w:type="dxa"/>
              <w:start w:w="70" w:type="dxa"/>
              <w:bottom w:w="60" w:type="dxa"/>
              <w:end w:w="70" w:type="dxa"/>
            </w:tcMar>
            <w:vAlign w:val="center"/>
          </w:tcPr>
          <w:p>
            <w:pPr>
              <w:spacing w:after="0"/>
            </w:pPr>
            <w:r>
              <w:rPr>
                <w:sz w:val="18"/>
              </w:rPr>
              <w:t>Fall 2024</w:t>
            </w:r>
          </w:p>
        </w:tc>
        <w:tc>
          <w:tcPr>
            <w:tcW w:type="dxa" w:w="7560"/>
            <w:tcMar>
              <w:top w:w="60" w:type="dxa"/>
              <w:start w:w="70" w:type="dxa"/>
              <w:bottom w:w="60" w:type="dxa"/>
              <w:end w:w="70" w:type="dxa"/>
            </w:tcMar>
            <w:vAlign w:val="center"/>
          </w:tcPr>
          <w:p>
            <w:pPr>
              <w:spacing w:after="0"/>
            </w:pPr>
            <w:r>
              <w:rPr>
                <w:sz w:val="18"/>
              </w:rPr>
              <w:t>IAC ratification of the 2024–2028 Strategic Plan</w:t>
            </w:r>
          </w:p>
        </w:tc>
      </w:tr>
      <w:tr>
        <w:trPr>
          <w:cantSplit/>
        </w:trPr>
        <w:tc>
          <w:tcPr>
            <w:tcW w:type="dxa" w:w="2232"/>
            <w:tcMar>
              <w:top w:w="60" w:type="dxa"/>
              <w:start w:w="70" w:type="dxa"/>
              <w:bottom w:w="60" w:type="dxa"/>
              <w:end w:w="70" w:type="dxa"/>
            </w:tcMar>
            <w:vAlign w:val="center"/>
          </w:tcPr>
          <w:p>
            <w:pPr>
              <w:spacing w:after="0"/>
            </w:pPr>
            <w:r>
              <w:rPr>
                <w:sz w:val="18"/>
              </w:rPr>
              <w:t>Fall 2025</w:t>
            </w:r>
          </w:p>
        </w:tc>
        <w:tc>
          <w:tcPr>
            <w:tcW w:type="dxa" w:w="7560"/>
            <w:tcMar>
              <w:top w:w="60" w:type="dxa"/>
              <w:start w:w="70" w:type="dxa"/>
              <w:bottom w:w="60" w:type="dxa"/>
              <w:end w:w="70" w:type="dxa"/>
            </w:tcMar>
            <w:vAlign w:val="center"/>
          </w:tcPr>
          <w:p>
            <w:pPr>
              <w:spacing w:after="0"/>
            </w:pPr>
            <w:r>
              <w:rPr>
                <w:sz w:val="18"/>
              </w:rPr>
              <w:t>IAC review of student feedback, curriculum technology, computing, facilities, faculty capacity and engagement priorities</w:t>
            </w:r>
          </w:p>
        </w:tc>
      </w:tr>
      <w:tr>
        <w:trPr>
          <w:cantSplit/>
        </w:trPr>
        <w:tc>
          <w:tcPr>
            <w:tcW w:type="dxa" w:w="2232"/>
            <w:tcMar>
              <w:top w:w="60" w:type="dxa"/>
              <w:start w:w="70" w:type="dxa"/>
              <w:bottom w:w="60" w:type="dxa"/>
              <w:end w:w="70" w:type="dxa"/>
            </w:tcMar>
            <w:vAlign w:val="center"/>
          </w:tcPr>
          <w:p>
            <w:pPr>
              <w:spacing w:after="0"/>
            </w:pPr>
            <w:r>
              <w:rPr>
                <w:sz w:val="18"/>
              </w:rPr>
              <w:t>Spring 2026</w:t>
            </w:r>
          </w:p>
        </w:tc>
        <w:tc>
          <w:tcPr>
            <w:tcW w:type="dxa" w:w="7560"/>
            <w:tcMar>
              <w:top w:w="60" w:type="dxa"/>
              <w:start w:w="70" w:type="dxa"/>
              <w:bottom w:w="60" w:type="dxa"/>
              <w:end w:w="70" w:type="dxa"/>
            </w:tcMar>
            <w:vAlign w:val="center"/>
          </w:tcPr>
          <w:p>
            <w:pPr>
              <w:spacing w:after="0"/>
            </w:pPr>
            <w:r>
              <w:rPr>
                <w:sz w:val="18"/>
              </w:rPr>
              <w:t>Updated strategic-plan cost report and assessment-status review</w:t>
            </w:r>
          </w:p>
        </w:tc>
      </w:tr>
      <w:tr>
        <w:trPr>
          <w:cantSplit/>
        </w:trPr>
        <w:tc>
          <w:tcPr>
            <w:tcW w:type="dxa" w:w="2232"/>
            <w:tcMar>
              <w:top w:w="60" w:type="dxa"/>
              <w:start w:w="70" w:type="dxa"/>
              <w:bottom w:w="60" w:type="dxa"/>
              <w:end w:w="70" w:type="dxa"/>
            </w:tcMar>
            <w:vAlign w:val="center"/>
          </w:tcPr>
          <w:p>
            <w:pPr>
              <w:spacing w:after="0"/>
            </w:pPr>
            <w:r>
              <w:rPr>
                <w:sz w:val="18"/>
              </w:rPr>
              <w:t>Annually</w:t>
            </w:r>
          </w:p>
        </w:tc>
        <w:tc>
          <w:tcPr>
            <w:tcW w:type="dxa" w:w="7560"/>
            <w:tcMar>
              <w:top w:w="60" w:type="dxa"/>
              <w:start w:w="70" w:type="dxa"/>
              <w:bottom w:w="60" w:type="dxa"/>
              <w:end w:w="70" w:type="dxa"/>
            </w:tcMar>
            <w:vAlign w:val="center"/>
          </w:tcPr>
          <w:p>
            <w:pPr>
              <w:spacing w:after="0"/>
            </w:pPr>
            <w:r>
              <w:rPr>
                <w:sz w:val="18"/>
              </w:rPr>
              <w:t>Faculty and IAC review of results, actions, resources and the next collection schedule</w:t>
            </w:r>
          </w:p>
        </w:tc>
      </w:tr>
      <w:tr>
        <w:trPr>
          <w:cantSplit/>
        </w:trPr>
        <w:tc>
          <w:tcPr>
            <w:tcW w:type="dxa" w:w="2232"/>
            <w:tcMar>
              <w:top w:w="60" w:type="dxa"/>
              <w:start w:w="70" w:type="dxa"/>
              <w:bottom w:w="60" w:type="dxa"/>
              <w:end w:w="70" w:type="dxa"/>
            </w:tcMar>
            <w:vAlign w:val="center"/>
          </w:tcPr>
          <w:p>
            <w:pPr>
              <w:spacing w:after="0"/>
            </w:pPr>
            <w:r>
              <w:rPr>
                <w:sz w:val="18"/>
              </w:rPr>
              <w:t>End of three-year cycle</w:t>
            </w:r>
          </w:p>
        </w:tc>
        <w:tc>
          <w:tcPr>
            <w:tcW w:type="dxa" w:w="7560"/>
            <w:tcMar>
              <w:top w:w="60" w:type="dxa"/>
              <w:start w:w="70" w:type="dxa"/>
              <w:bottom w:w="60" w:type="dxa"/>
              <w:end w:w="70" w:type="dxa"/>
            </w:tcMar>
            <w:vAlign w:val="center"/>
          </w:tcPr>
          <w:p>
            <w:pPr>
              <w:spacing w:after="0"/>
            </w:pPr>
            <w:r>
              <w:rPr>
                <w:sz w:val="18"/>
              </w:rPr>
              <w:t>Complete SLO and DPO achievement summaries and approve revisions to measures, criteria, and schedule</w:t>
            </w:r>
          </w:p>
        </w:tc>
      </w:tr>
    </w:tbl>
    <w:sectPr w:rsidR="00FC693F" w:rsidRPr="0006063C" w:rsidSect="00034616">
      <w:headerReference w:type="default" r:id="rId9"/>
      <w:footerReference w:type="default" r:id="rId10"/>
      <w:pgSz w:w="12240" w:h="15840"/>
      <w:pgMar w:top="936" w:right="1080" w:bottom="936" w:left="108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646464"/>
        <w:sz w:val="16"/>
      </w:rPr>
      <w:t xml:space="preserve">Section 9 QIP | 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color w:val="696969"/>
        <w:sz w:val="16"/>
      </w:rPr>
      <w:t>ULM School of Construction Management | ACCE Self-Evaluation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rial" w:hAnsi="Arial"/>
      <w:sz w:val="21"/>
      <w:lang w:val="en-US"/>
    </w:rPr>
  </w:style>
  <w:style w:type="paragraph" w:styleId="Header">
    <w:name w:val="header"/>
    <w:basedOn w:val="Normal"/>
    <w:link w:val="HeaderChar"/>
    <w:uiPriority w:val="99"/>
    <w:unhideWhenUsed/>
    <w:rsid w:val="00E618B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E618BF"/>
    <w:pPr/>
    <w:rPr>
      <w:lang w:val="en-US"/>
    </w:rPr>
  </w:style>
  <w:style w:type="paragraph" w:styleId="Footer">
    <w:name w:val="footer"/>
    <w:basedOn w:val="Normal"/>
    <w:link w:val="FooterChar"/>
    <w:uiPriority w:val="99"/>
    <w:unhideWhenUsed/>
    <w:rsid w:val="00E618B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E618BF"/>
    <w:pPr/>
    <w:rPr>
      <w:lang w:val="en-US"/>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1F4E79"/>
      <w:sz w:val="28"/>
      <w:szCs w:val="28"/>
      <w:lang w:val="en-US"/>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ascii="Arial" w:hAnsi="Arial"/>
      <w:b/>
      <w:bCs/>
      <w:color w:val="1F4E79"/>
      <w:sz w:val="23"/>
      <w:szCs w:val="26"/>
      <w:lang w:val="en-US"/>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en-U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en-US"/>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en-US"/>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en-US"/>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en-US"/>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en-US"/>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pPr/>
    <w:rPr>
      <w:lang w:val="en-US"/>
    </w:rPr>
  </w:style>
  <w:style w:type="table" w:default="1" w:styleId="TableNormal">
    <w:name w:val="Normal Table"/>
    <w:uiPriority w:val="99"/>
    <w:semiHidden/>
    <w:unhideWhenUsed/>
    <w:pPr/>
    <w:rPr>
      <w:lang w:val="en-US"/>
    </w:rPr>
    <w:tblPr>
      <w:tblInd w:w="0" w:type="dxa"/>
      <w:tblCellMar>
        <w:top w:w="0" w:type="dxa"/>
        <w:left w:w="108" w:type="dxa"/>
        <w:bottom w:w="0" w:type="dxa"/>
        <w:right w:w="108" w:type="dxa"/>
      </w:tblCellMar>
    </w:tblPr>
  </w:style>
  <w:style w:type="numbering" w:default="1" w:styleId="NoList">
    <w:name w:val="No List"/>
    <w:uiPriority w:val="99"/>
    <w:semiHidden/>
    <w:unhideWhenUsed/>
    <w:pPr/>
    <w:rPr>
      <w:lang w:val="en-US"/>
    </w:rPr>
  </w:style>
  <w:style w:type="paragraph" w:styleId="NoSpacing">
    <w:name w:val="No Spacing"/>
    <w:uiPriority w:val="1"/>
    <w:qFormat/>
    <w:rsid w:val="00FC693F"/>
    <w:pPr>
      <w:spacing w:after="0" w:line="240" w:lineRule="auto"/>
    </w:pPr>
    <w:rPr>
      <w:lang w:val="en-US"/>
    </w:rPr>
  </w:style>
  <w:style w:type="character" w:customStyle="1" w:styleId="Heading1Char">
    <w:name w:val="Heading 1 Char"/>
    <w:basedOn w:val="DefaultParagraphFont"/>
    <w:link w:val="Heading1"/>
    <w:uiPriority w:val="9"/>
    <w:rsid w:val="00FC693F"/>
    <w:pPr/>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FC693F"/>
    <w:pPr/>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basedOn w:val="DefaultParagraphFont"/>
    <w:link w:val="Heading3"/>
    <w:uiPriority w:val="9"/>
    <w:rsid w:val="00FC693F"/>
    <w:pPr/>
    <w:rPr>
      <w:rFonts w:asciiTheme="majorHAnsi" w:eastAsiaTheme="majorEastAsia" w:hAnsiTheme="majorHAnsi" w:cstheme="majorBidi"/>
      <w:b/>
      <w:bCs/>
      <w:color w:val="4F81BD" w:themeColor="accent1"/>
      <w:lang w:val="en-US"/>
    </w:rPr>
  </w:style>
  <w:style w:type="paragraph" w:styleId="Title">
    <w:name w:val="Title"/>
    <w:basedOn w:val="Normal"/>
    <w:next w:val="Normal"/>
    <w:link w:val="TitleChar"/>
    <w:uiPriority w:val="10"/>
    <w:qFormat/>
    <w:rsid w:val="00FC693F"/>
    <w:pPr>
      <w:keepNext/>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spacing w:val="5"/>
      <w:kern w:val="28"/>
      <w:sz w:val="44"/>
      <w:szCs w:val="52"/>
      <w:lang w:val="en-US"/>
    </w:rPr>
  </w:style>
  <w:style w:type="character" w:customStyle="1" w:styleId="TitleChar">
    <w:name w:val="Title Char"/>
    <w:basedOn w:val="DefaultParagraphFont"/>
    <w:link w:val="Title"/>
    <w:uiPriority w:val="10"/>
    <w:rsid w:val="00FC693F"/>
    <w:pPr/>
    <w:rPr>
      <w:rFonts w:asciiTheme="majorHAnsi" w:eastAsiaTheme="majorEastAsia" w:hAnsiTheme="majorHAnsi" w:cstheme="majorBidi"/>
      <w:color w:val="17365D" w:themeColor="text2" w:themeShade="BF"/>
      <w:spacing w:val="5"/>
      <w:kern w:val="28"/>
      <w:sz w:val="52"/>
      <w:szCs w:val="52"/>
      <w:lang w:val="en-US"/>
    </w:rPr>
  </w:style>
  <w:style w:type="paragraph" w:styleId="Subtitle">
    <w:name w:val="Subtitle"/>
    <w:basedOn w:val="Normal"/>
    <w:next w:val="Normal"/>
    <w:link w:val="SubtitleChar"/>
    <w:uiPriority w:val="11"/>
    <w:qFormat/>
    <w:rsid w:val="00FC693F"/>
    <w:pPr>
      <w:keepNext/>
      <w:numPr>
        <w:ilvl w:val="1"/>
      </w:numPr>
    </w:pPr>
    <w:rPr>
      <w:rFonts w:asciiTheme="majorHAnsi" w:eastAsiaTheme="majorEastAsia" w:hAnsiTheme="majorHAnsi" w:cstheme="majorBidi" w:ascii="Arial" w:hAnsi="Arial"/>
      <w:b/>
      <w:i/>
      <w:iCs/>
      <w:color w:val="365F8C"/>
      <w:spacing w:val="15"/>
      <w:sz w:val="26"/>
      <w:szCs w:val="24"/>
      <w:lang w:val="en-US"/>
    </w:rPr>
  </w:style>
  <w:style w:type="character" w:customStyle="1" w:styleId="SubtitleChar">
    <w:name w:val="Subtitle Char"/>
    <w:basedOn w:val="DefaultParagraphFont"/>
    <w:link w:val="Subtitle"/>
    <w:uiPriority w:val="11"/>
    <w:rsid w:val="00FC693F"/>
    <w:pPr/>
    <w:rPr>
      <w:rFonts w:asciiTheme="majorHAnsi" w:eastAsiaTheme="majorEastAsia" w:hAnsiTheme="majorHAnsi" w:cstheme="majorBidi"/>
      <w:i/>
      <w:iCs/>
      <w:color w:val="4F81BD" w:themeColor="accent1"/>
      <w:spacing w:val="15"/>
      <w:sz w:val="24"/>
      <w:szCs w:val="24"/>
      <w:lang w:val="en-US"/>
    </w:rPr>
  </w:style>
  <w:style w:type="paragraph" w:styleId="ListParagraph">
    <w:name w:val="List Paragraph"/>
    <w:basedOn w:val="Normal"/>
    <w:uiPriority w:val="34"/>
    <w:qFormat/>
    <w:rsid w:val="00FC693F"/>
    <w:pPr>
      <w:ind w:left="720"/>
      <w:contextualSpacing/>
    </w:pPr>
    <w:rPr>
      <w:lang w:val="en-US"/>
    </w:rPr>
  </w:style>
  <w:style w:type="paragraph" w:styleId="BodyText">
    <w:name w:val="Body Text"/>
    <w:basedOn w:val="Normal"/>
    <w:link w:val="BodyTextChar"/>
    <w:uiPriority w:val="99"/>
    <w:unhideWhenUsed/>
    <w:rsid w:val="00AA1D8D"/>
    <w:pPr>
      <w:spacing w:after="120"/>
    </w:pPr>
    <w:rPr>
      <w:lang w:val="en-US"/>
    </w:rPr>
  </w:style>
  <w:style w:type="character" w:customStyle="1" w:styleId="BodyTextChar">
    <w:name w:val="Body Text Char"/>
    <w:basedOn w:val="DefaultParagraphFont"/>
    <w:link w:val="BodyText"/>
    <w:uiPriority w:val="99"/>
    <w:rsid w:val="00AA1D8D"/>
    <w:pPr/>
    <w:rPr>
      <w:lang w:val="en-US"/>
    </w:rPr>
  </w:style>
  <w:style w:type="paragraph" w:styleId="BodyText2">
    <w:name w:val="Body Text 2"/>
    <w:basedOn w:val="Normal"/>
    <w:link w:val="BodyText2Char"/>
    <w:uiPriority w:val="99"/>
    <w:unhideWhenUsed/>
    <w:rsid w:val="00AA1D8D"/>
    <w:pPr>
      <w:spacing w:after="120" w:line="480" w:lineRule="auto"/>
    </w:pPr>
    <w:rPr>
      <w:lang w:val="en-US"/>
    </w:rPr>
  </w:style>
  <w:style w:type="character" w:customStyle="1" w:styleId="BodyText2Char">
    <w:name w:val="Body Text 2 Char"/>
    <w:basedOn w:val="DefaultParagraphFont"/>
    <w:link w:val="BodyText2"/>
    <w:uiPriority w:val="99"/>
    <w:rsid w:val="00AA1D8D"/>
    <w:pPr/>
    <w:rPr>
      <w:lang w:val="en-US"/>
    </w:rPr>
  </w:style>
  <w:style w:type="paragraph" w:styleId="BodyText3">
    <w:name w:val="Body Text 3"/>
    <w:basedOn w:val="Normal"/>
    <w:link w:val="BodyText3Char"/>
    <w:uiPriority w:val="99"/>
    <w:unhideWhenUsed/>
    <w:rsid w:val="00AA1D8D"/>
    <w:pPr>
      <w:spacing w:after="120"/>
    </w:pPr>
    <w:rPr>
      <w:sz w:val="16"/>
      <w:szCs w:val="16"/>
      <w:lang w:val="en-US"/>
    </w:rPr>
  </w:style>
  <w:style w:type="character" w:customStyle="1" w:styleId="BodyText3Char">
    <w:name w:val="Body Text 3 Char"/>
    <w:basedOn w:val="DefaultParagraphFont"/>
    <w:link w:val="BodyText3"/>
    <w:uiPriority w:val="99"/>
    <w:rsid w:val="00AA1D8D"/>
    <w:pPr/>
    <w:rPr>
      <w:sz w:val="16"/>
      <w:szCs w:val="16"/>
      <w:lang w:val="en-US"/>
    </w:rPr>
  </w:style>
  <w:style w:type="paragraph" w:styleId="List">
    <w:name w:val="List"/>
    <w:basedOn w:val="Normal"/>
    <w:uiPriority w:val="99"/>
    <w:unhideWhenUsed/>
    <w:rsid w:val="00AA1D8D"/>
    <w:pPr>
      <w:ind w:left="360" w:hanging="360"/>
      <w:contextualSpacing/>
    </w:pPr>
    <w:rPr>
      <w:lang w:val="en-US"/>
    </w:rPr>
  </w:style>
  <w:style w:type="paragraph" w:styleId="List2">
    <w:name w:val="List 2"/>
    <w:basedOn w:val="Normal"/>
    <w:uiPriority w:val="99"/>
    <w:unhideWhenUsed/>
    <w:rsid w:val="00326F90"/>
    <w:pPr>
      <w:ind w:left="720" w:hanging="360"/>
      <w:contextualSpacing/>
    </w:pPr>
    <w:rPr>
      <w:lang w:val="en-US"/>
    </w:rPr>
  </w:style>
  <w:style w:type="paragraph" w:styleId="List3">
    <w:name w:val="List 3"/>
    <w:basedOn w:val="Normal"/>
    <w:uiPriority w:val="99"/>
    <w:unhideWhenUsed/>
    <w:rsid w:val="00326F90"/>
    <w:pPr>
      <w:ind w:left="1080" w:hanging="360"/>
      <w:contextualSpacing/>
    </w:pPr>
    <w:rPr>
      <w:lang w:val="en-US"/>
    </w:rPr>
  </w:style>
  <w:style w:type="paragraph" w:styleId="ListBullet">
    <w:name w:val="List Bullet"/>
    <w:basedOn w:val="Normal"/>
    <w:uiPriority w:val="99"/>
    <w:unhideWhenUsed/>
    <w:rsid w:val="00326F90"/>
    <w:pPr>
      <w:numPr>
        <w:numId w:val="1"/>
      </w:numPr>
      <w:contextualSpacing/>
    </w:pPr>
    <w:rPr>
      <w:rFonts w:ascii="Arial" w:hAnsi="Arial"/>
      <w:sz w:val="21"/>
      <w:lang w:val="en-US"/>
    </w:rPr>
  </w:style>
  <w:style w:type="paragraph" w:styleId="ListBullet2">
    <w:name w:val="List Bullet 2"/>
    <w:basedOn w:val="Normal"/>
    <w:uiPriority w:val="99"/>
    <w:unhideWhenUsed/>
    <w:rsid w:val="00326F90"/>
    <w:pPr>
      <w:numPr>
        <w:numId w:val="2"/>
      </w:numPr>
      <w:contextualSpacing/>
    </w:pPr>
    <w:rPr>
      <w:lang w:val="en-US"/>
    </w:rPr>
  </w:style>
  <w:style w:type="paragraph" w:styleId="ListBullet3">
    <w:name w:val="List Bullet 3"/>
    <w:basedOn w:val="Normal"/>
    <w:uiPriority w:val="99"/>
    <w:unhideWhenUsed/>
    <w:rsid w:val="00326F90"/>
    <w:pPr>
      <w:numPr>
        <w:numId w:val="3"/>
      </w:numPr>
      <w:contextualSpacing/>
    </w:pPr>
    <w:rPr>
      <w:lang w:val="en-US"/>
    </w:rPr>
  </w:style>
  <w:style w:type="paragraph" w:styleId="ListNumber">
    <w:name w:val="List Number"/>
    <w:basedOn w:val="Normal"/>
    <w:uiPriority w:val="99"/>
    <w:unhideWhenUsed/>
    <w:rsid w:val="00326F90"/>
    <w:pPr>
      <w:numPr>
        <w:numId w:val="5"/>
      </w:numPr>
      <w:contextualSpacing/>
    </w:pPr>
    <w:rPr>
      <w:lang w:val="en-US"/>
    </w:rPr>
  </w:style>
  <w:style w:type="paragraph" w:styleId="ListNumber2">
    <w:name w:val="List Number 2"/>
    <w:basedOn w:val="Normal"/>
    <w:uiPriority w:val="99"/>
    <w:unhideWhenUsed/>
    <w:rsid w:val="0029639D"/>
    <w:pPr>
      <w:numPr>
        <w:numId w:val="6"/>
      </w:numPr>
      <w:contextualSpacing/>
    </w:pPr>
    <w:rPr>
      <w:lang w:val="en-US"/>
    </w:rPr>
  </w:style>
  <w:style w:type="paragraph" w:styleId="ListNumber3">
    <w:name w:val="List Number 3"/>
    <w:basedOn w:val="Normal"/>
    <w:uiPriority w:val="99"/>
    <w:unhideWhenUsed/>
    <w:rsid w:val="0029639D"/>
    <w:pPr>
      <w:numPr>
        <w:numId w:val="7"/>
      </w:numPr>
      <w:contextualSpacing/>
    </w:pPr>
    <w:rPr>
      <w:lang w:val="en-US"/>
    </w:rPr>
  </w:style>
  <w:style w:type="paragraph" w:styleId="ListContinue">
    <w:name w:val="List Continue"/>
    <w:basedOn w:val="Normal"/>
    <w:uiPriority w:val="99"/>
    <w:unhideWhenUsed/>
    <w:rsid w:val="0029639D"/>
    <w:pPr>
      <w:spacing w:after="120"/>
      <w:ind w:left="360"/>
      <w:contextualSpacing/>
    </w:pPr>
    <w:rPr>
      <w:lang w:val="en-US"/>
    </w:rPr>
  </w:style>
  <w:style w:type="paragraph" w:styleId="ListContinue2">
    <w:name w:val="List Continue 2"/>
    <w:basedOn w:val="Normal"/>
    <w:uiPriority w:val="99"/>
    <w:unhideWhenUsed/>
    <w:rsid w:val="0029639D"/>
    <w:pPr>
      <w:spacing w:after="120"/>
      <w:ind w:left="720"/>
      <w:contextualSpacing/>
    </w:pPr>
    <w:rPr>
      <w:lang w:val="en-US"/>
    </w:rPr>
  </w:style>
  <w:style w:type="paragraph" w:styleId="ListContinue3">
    <w:name w:val="List Continue 3"/>
    <w:basedOn w:val="Normal"/>
    <w:uiPriority w:val="99"/>
    <w:unhideWhenUsed/>
    <w:rsid w:val="0029639D"/>
    <w:pPr>
      <w:spacing w:after="120"/>
      <w:ind w:left="1080"/>
      <w:contextualSpacing/>
    </w:pPr>
    <w:rPr>
      <w:lang w:val="en-US"/>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en-US"/>
    </w:rPr>
  </w:style>
  <w:style w:type="character" w:customStyle="1" w:styleId="MacroTextChar">
    <w:name w:val="Macro Text Char"/>
    <w:basedOn w:val="DefaultParagraphFont"/>
    <w:link w:val="MacroText"/>
    <w:uiPriority w:val="99"/>
    <w:rsid w:val="0029639D"/>
    <w:pPr/>
    <w:rPr>
      <w:rFonts w:ascii="Courier" w:hAnsi="Courier"/>
      <w:sz w:val="20"/>
      <w:szCs w:val="20"/>
      <w:lang w:val="en-US"/>
    </w:rPr>
  </w:style>
  <w:style w:type="paragraph" w:styleId="Quote">
    <w:name w:val="Quote"/>
    <w:basedOn w:val="Normal"/>
    <w:next w:val="Normal"/>
    <w:link w:val="QuoteChar"/>
    <w:uiPriority w:val="29"/>
    <w:qFormat/>
    <w:rsid w:val="00FC693F"/>
    <w:pPr/>
    <w:rPr>
      <w:i/>
      <w:iCs/>
      <w:color w:val="000000" w:themeColor="text1"/>
      <w:lang w:val="en-US"/>
    </w:rPr>
  </w:style>
  <w:style w:type="character" w:customStyle="1" w:styleId="QuoteChar">
    <w:name w:val="Quote Char"/>
    <w:basedOn w:val="DefaultParagraphFont"/>
    <w:link w:val="Quote"/>
    <w:uiPriority w:val="29"/>
    <w:rsid w:val="00FC693F"/>
    <w:pPr/>
    <w:rPr>
      <w:i/>
      <w:iCs/>
      <w:color w:val="000000" w:themeColor="text1"/>
      <w:lang w:val="en-US"/>
    </w:rPr>
  </w:style>
  <w:style w:type="character" w:customStyle="1" w:styleId="Heading4Char">
    <w:name w:val="Heading 4 Char"/>
    <w:basedOn w:val="DefaultParagraphFont"/>
    <w:link w:val="Heading4"/>
    <w:uiPriority w:val="9"/>
    <w:semiHidden/>
    <w:rsid w:val="00FC693F"/>
    <w:pPr/>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FC693F"/>
    <w:pPr/>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FC693F"/>
    <w:pPr/>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FC693F"/>
    <w:pPr/>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FC693F"/>
    <w:pPr/>
    <w:rPr>
      <w:rFonts w:asciiTheme="majorHAnsi" w:eastAsiaTheme="majorEastAsia" w:hAnsiTheme="majorHAnsi" w:cstheme="majorBidi"/>
      <w:color w:val="4F81BD" w:themeColor="accent1"/>
      <w:sz w:val="20"/>
      <w:szCs w:val="20"/>
      <w:lang w:val="en-US"/>
    </w:rPr>
  </w:style>
  <w:style w:type="character" w:customStyle="1" w:styleId="Heading9Char">
    <w:name w:val="Heading 9 Char"/>
    <w:basedOn w:val="DefaultParagraphFont"/>
    <w:link w:val="Heading9"/>
    <w:uiPriority w:val="9"/>
    <w:semiHidden/>
    <w:rsid w:val="00FC693F"/>
    <w:pPr/>
    <w:rPr>
      <w:rFonts w:asciiTheme="majorHAnsi" w:eastAsiaTheme="majorEastAsia" w:hAnsiTheme="majorHAnsi" w:cstheme="majorBidi"/>
      <w:i/>
      <w:iCs/>
      <w:color w:val="404040" w:themeColor="text1" w:themeTint="BF"/>
      <w:sz w:val="20"/>
      <w:szCs w:val="20"/>
      <w:lang w:val="en-US"/>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en-US"/>
    </w:rPr>
  </w:style>
  <w:style w:type="character" w:styleId="Strong">
    <w:name w:val="Strong"/>
    <w:basedOn w:val="DefaultParagraphFont"/>
    <w:uiPriority w:val="22"/>
    <w:qFormat/>
    <w:rsid w:val="00FC693F"/>
    <w:pPr/>
    <w:rPr>
      <w:b/>
      <w:bCs/>
      <w:lang w:val="en-US"/>
    </w:rPr>
  </w:style>
  <w:style w:type="character" w:styleId="Emphasis">
    <w:name w:val="Emphasis"/>
    <w:basedOn w:val="DefaultParagraphFont"/>
    <w:uiPriority w:val="20"/>
    <w:qFormat/>
    <w:rsid w:val="00FC693F"/>
    <w:pPr/>
    <w:rPr>
      <w:i/>
      <w:iCs/>
      <w:lang w:val="en-U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en-US"/>
    </w:rPr>
  </w:style>
  <w:style w:type="character" w:customStyle="1" w:styleId="IntenseQuoteChar">
    <w:name w:val="Intense Quote Char"/>
    <w:basedOn w:val="DefaultParagraphFont"/>
    <w:link w:val="IntenseQuote"/>
    <w:uiPriority w:val="30"/>
    <w:rsid w:val="00FC693F"/>
    <w:pPr/>
    <w:rPr>
      <w:b/>
      <w:bCs/>
      <w:i/>
      <w:iCs/>
      <w:color w:val="4F81BD" w:themeColor="accent1"/>
      <w:lang w:val="en-US"/>
    </w:rPr>
  </w:style>
  <w:style w:type="character" w:styleId="SubtleEmphasis">
    <w:name w:val="Subtle Emphasis"/>
    <w:basedOn w:val="DefaultParagraphFont"/>
    <w:uiPriority w:val="19"/>
    <w:qFormat/>
    <w:rsid w:val="00FC693F"/>
    <w:pPr/>
    <w:rPr>
      <w:i/>
      <w:iCs/>
      <w:color w:val="808080" w:themeColor="text1" w:themeTint="7F"/>
      <w:lang w:val="en-US"/>
    </w:rPr>
  </w:style>
  <w:style w:type="character" w:styleId="IntenseEmphasis">
    <w:name w:val="Intense Emphasis"/>
    <w:basedOn w:val="DefaultParagraphFont"/>
    <w:uiPriority w:val="21"/>
    <w:qFormat/>
    <w:rsid w:val="00FC693F"/>
    <w:pPr/>
    <w:rPr>
      <w:b/>
      <w:bCs/>
      <w:i/>
      <w:iCs/>
      <w:color w:val="4F81BD" w:themeColor="accent1"/>
      <w:lang w:val="en-US"/>
    </w:rPr>
  </w:style>
  <w:style w:type="character" w:styleId="SubtleReference">
    <w:name w:val="Subtle Reference"/>
    <w:basedOn w:val="DefaultParagraphFont"/>
    <w:uiPriority w:val="31"/>
    <w:qFormat/>
    <w:rsid w:val="00FC693F"/>
    <w:pPr/>
    <w:rPr>
      <w:smallCaps/>
      <w:color w:val="C0504D" w:themeColor="accent2"/>
      <w:u w:val="single"/>
      <w:lang w:val="en-US"/>
    </w:rPr>
  </w:style>
  <w:style w:type="character" w:styleId="IntenseReference">
    <w:name w:val="Intense Reference"/>
    <w:basedOn w:val="DefaultParagraphFont"/>
    <w:uiPriority w:val="32"/>
    <w:qFormat/>
    <w:rsid w:val="00FC693F"/>
    <w:pPr/>
    <w:rPr>
      <w:b/>
      <w:bCs/>
      <w:smallCaps/>
      <w:color w:val="C0504D" w:themeColor="accent2"/>
      <w:spacing w:val="5"/>
      <w:u w:val="single"/>
      <w:lang w:val="en-US"/>
    </w:rPr>
  </w:style>
  <w:style w:type="character" w:styleId="BookTitle">
    <w:name w:val="Book Title"/>
    <w:basedOn w:val="DefaultParagraphFont"/>
    <w:uiPriority w:val="33"/>
    <w:qFormat/>
    <w:rsid w:val="00FC693F"/>
    <w:pPr/>
    <w:rPr>
      <w:b/>
      <w:bCs/>
      <w:smallCaps/>
      <w:spacing w:val="5"/>
      <w:lang w:val="en-US"/>
    </w:rPr>
  </w:style>
  <w:style w:type="paragraph" w:styleId="TOCHeading">
    <w:name w:val="TOC Heading"/>
    <w:basedOn w:val="Heading1"/>
    <w:next w:val="Normal"/>
    <w:uiPriority w:val="39"/>
    <w:semiHidden/>
    <w:unhideWhenUsed/>
    <w:qFormat/>
    <w:rsid w:val="00FC693F"/>
    <w:pPr>
      <w:outlineLvl w:val="9"/>
    </w:pPr>
    <w:rPr>
      <w:lang w:val="en-US"/>
    </w:rPr>
  </w:style>
  <w:style w:type="table" w:styleId="TableGrid">
    <w:name w:val="Table Grid"/>
    <w:basedOn w:val="TableNormal"/>
    <w:uiPriority w:val="59"/>
    <w:rsid w:val="00FC693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lang w:val="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lang w:val="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lang w:val="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lang w:val="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lang w:val="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lang w:val="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en-US"/>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lang w:val="en-US"/>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lang w:val="en-US"/>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lang w:val="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lang w:val="en-US"/>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lang w:val="en-US"/>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lang w:val="en-US"/>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lang w:val="en-US"/>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lang w:val="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en-US"/>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lang w:val="en-US"/>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en-US"/>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Improvement Plan: Academic Quality Planning and Outcome Assessment</dc:title>
  <dc:subject>B.S. in Construction Management, ULM School of Construction Management, ACCE Self-Evaluation Study</dc:subject>
  <dc:creator>python-docx</dc:creator>
  <cp:keywords>Quality Improvement Plan, QIP, ACCE, Construction Management, accessibility</cp:keywords>
  <dc:description>Accessible Word version recreated from the supplied 2024-2028 Quality Improvement Plan PDF.</dc:description>
  <cp:lastModifiedBy/>
  <cp:revision>1</cp:revision>
  <dcterms:created xsi:type="dcterms:W3CDTF">2013-12-23T23:15:00Z</dcterms:created>
  <dcterms:modified xsi:type="dcterms:W3CDTF">2013-12-23T23:15:00Z</dcterms:modified>
  <cp:category/>
</cp:coreProperties>
</file>